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2B927">
      <w:pPr>
        <w:jc w:val="left"/>
        <w:rPr>
          <w:rFonts w:ascii="宋体" w:hAnsi="宋体" w:cs="宋体"/>
          <w:sz w:val="44"/>
          <w:szCs w:val="44"/>
        </w:rPr>
      </w:pPr>
    </w:p>
    <w:p w14:paraId="129627A3">
      <w:pPr>
        <w:tabs>
          <w:tab w:val="left" w:pos="2450"/>
        </w:tabs>
        <w:spacing w:line="680" w:lineRule="exact"/>
        <w:rPr>
          <w:rFonts w:ascii="宋体" w:hAnsi="宋体" w:cs="宋体"/>
          <w:sz w:val="44"/>
          <w:szCs w:val="44"/>
        </w:rPr>
      </w:pPr>
    </w:p>
    <w:p w14:paraId="21DF4E42">
      <w:pPr>
        <w:snapToGrid w:val="0"/>
        <w:spacing w:line="360" w:lineRule="auto"/>
        <w:jc w:val="center"/>
        <w:rPr>
          <w:rFonts w:ascii="宋体" w:hAnsi="宋体" w:cs="宋体"/>
          <w:b/>
          <w:spacing w:val="170"/>
          <w:kern w:val="0"/>
          <w:sz w:val="84"/>
          <w:szCs w:val="84"/>
        </w:rPr>
      </w:pPr>
    </w:p>
    <w:p w14:paraId="00746007">
      <w:pPr>
        <w:snapToGrid w:val="0"/>
        <w:spacing w:line="360" w:lineRule="auto"/>
        <w:jc w:val="center"/>
        <w:rPr>
          <w:rFonts w:ascii="宋体" w:hAnsi="宋体" w:cs="宋体"/>
          <w:b/>
          <w:spacing w:val="170"/>
          <w:kern w:val="0"/>
          <w:sz w:val="84"/>
          <w:szCs w:val="84"/>
        </w:rPr>
      </w:pPr>
      <w:r>
        <w:rPr>
          <w:rFonts w:hint="eastAsia" w:ascii="宋体" w:hAnsi="宋体" w:cs="宋体"/>
          <w:b/>
          <w:spacing w:val="170"/>
          <w:kern w:val="0"/>
          <w:sz w:val="84"/>
          <w:szCs w:val="84"/>
        </w:rPr>
        <w:t>竞争性磋商</w:t>
      </w:r>
      <w:r>
        <w:rPr>
          <w:rFonts w:hint="eastAsia" w:ascii="宋体" w:hAnsi="宋体" w:cs="宋体"/>
          <w:b/>
          <w:spacing w:val="170"/>
          <w:sz w:val="84"/>
          <w:szCs w:val="84"/>
        </w:rPr>
        <w:t>文件</w:t>
      </w:r>
    </w:p>
    <w:p w14:paraId="2F37FBC0">
      <w:pPr>
        <w:tabs>
          <w:tab w:val="left" w:pos="2450"/>
        </w:tabs>
        <w:spacing w:line="680" w:lineRule="exact"/>
        <w:rPr>
          <w:rFonts w:ascii="宋体" w:hAnsi="宋体" w:cs="宋体"/>
          <w:sz w:val="44"/>
          <w:szCs w:val="44"/>
        </w:rPr>
      </w:pPr>
      <w:r>
        <w:rPr>
          <w:rFonts w:hint="eastAsia" w:ascii="宋体" w:hAnsi="宋体" w:cs="宋体"/>
          <w:sz w:val="44"/>
          <w:szCs w:val="44"/>
        </w:rPr>
        <w:tab/>
      </w:r>
    </w:p>
    <w:p w14:paraId="3EB4C4A0">
      <w:pPr>
        <w:adjustRightInd w:val="0"/>
        <w:snapToGrid w:val="0"/>
        <w:spacing w:line="800" w:lineRule="exact"/>
        <w:rPr>
          <w:rFonts w:ascii="宋体" w:hAnsi="宋体" w:cs="宋体"/>
          <w:sz w:val="44"/>
          <w:szCs w:val="44"/>
        </w:rPr>
      </w:pPr>
    </w:p>
    <w:p w14:paraId="45D18E2F">
      <w:pPr>
        <w:adjustRightInd w:val="0"/>
        <w:snapToGrid w:val="0"/>
        <w:spacing w:line="800" w:lineRule="exact"/>
        <w:ind w:firstLine="1680" w:firstLineChars="600"/>
        <w:rPr>
          <w:rFonts w:hint="eastAsia" w:ascii="宋体" w:hAnsi="宋体" w:eastAsia="宋体" w:cs="宋体"/>
          <w:bCs/>
          <w:color w:val="auto"/>
          <w:sz w:val="28"/>
          <w:szCs w:val="32"/>
          <w:lang w:eastAsia="zh-CN"/>
        </w:rPr>
      </w:pPr>
      <w:r>
        <w:rPr>
          <w:rFonts w:hint="eastAsia" w:ascii="宋体" w:hAnsi="宋体" w:cs="宋体"/>
          <w:bCs/>
          <w:color w:val="auto"/>
          <w:sz w:val="28"/>
          <w:szCs w:val="32"/>
        </w:rPr>
        <w:t>采购项目编号：</w:t>
      </w:r>
      <w:r>
        <w:rPr>
          <w:rFonts w:hint="eastAsia" w:ascii="宋体" w:hAnsi="宋体" w:cs="宋体"/>
          <w:bCs/>
          <w:color w:val="auto"/>
          <w:sz w:val="28"/>
          <w:szCs w:val="32"/>
          <w:lang w:eastAsia="zh-CN"/>
        </w:rPr>
        <w:t>CT-SC-2025332</w:t>
      </w:r>
    </w:p>
    <w:p w14:paraId="3FA67E52">
      <w:pPr>
        <w:adjustRightInd w:val="0"/>
        <w:snapToGrid w:val="0"/>
        <w:spacing w:line="800" w:lineRule="exact"/>
        <w:ind w:firstLine="1680" w:firstLineChars="600"/>
        <w:rPr>
          <w:rFonts w:ascii="宋体" w:hAnsi="宋体" w:cs="宋体"/>
          <w:bCs/>
          <w:sz w:val="28"/>
          <w:szCs w:val="32"/>
        </w:rPr>
      </w:pPr>
      <w:r>
        <w:rPr>
          <w:rFonts w:hint="eastAsia" w:ascii="宋体" w:hAnsi="宋体" w:cs="宋体"/>
          <w:bCs/>
          <w:sz w:val="28"/>
          <w:szCs w:val="32"/>
        </w:rPr>
        <w:t>采购项目名称：</w:t>
      </w:r>
      <w:r>
        <w:rPr>
          <w:rFonts w:hint="eastAsia" w:ascii="宋体" w:hAnsi="宋体"/>
          <w:bCs/>
          <w:sz w:val="28"/>
          <w:szCs w:val="32"/>
        </w:rPr>
        <w:t xml:space="preserve">天宁分局机关大楼进行房屋安全性鉴定及消防安全评估项目 </w:t>
      </w:r>
    </w:p>
    <w:p w14:paraId="78EFA9DC">
      <w:pPr>
        <w:adjustRightInd w:val="0"/>
        <w:snapToGrid w:val="0"/>
        <w:spacing w:line="800" w:lineRule="exact"/>
        <w:ind w:firstLine="1700" w:firstLineChars="500"/>
        <w:rPr>
          <w:rFonts w:ascii="宋体" w:hAnsi="宋体" w:cs="宋体"/>
          <w:bCs/>
          <w:sz w:val="28"/>
          <w:szCs w:val="32"/>
        </w:rPr>
      </w:pPr>
      <w:r>
        <w:rPr>
          <w:rFonts w:hint="eastAsia" w:ascii="宋体" w:hAnsi="宋体" w:cs="宋体"/>
          <w:bCs/>
          <w:spacing w:val="30"/>
          <w:sz w:val="28"/>
          <w:szCs w:val="32"/>
        </w:rPr>
        <w:t>采购人名</w:t>
      </w:r>
      <w:r>
        <w:rPr>
          <w:rFonts w:hint="eastAsia" w:ascii="宋体" w:hAnsi="宋体" w:cs="宋体"/>
          <w:bCs/>
          <w:sz w:val="28"/>
          <w:szCs w:val="32"/>
        </w:rPr>
        <w:t>称：</w:t>
      </w:r>
      <w:r>
        <w:rPr>
          <w:rFonts w:hint="eastAsia" w:ascii="宋体" w:hAnsi="宋体"/>
          <w:bCs/>
          <w:sz w:val="28"/>
          <w:szCs w:val="32"/>
        </w:rPr>
        <w:t>常州市公安局</w:t>
      </w:r>
    </w:p>
    <w:p w14:paraId="601DCAB8">
      <w:pPr>
        <w:spacing w:line="680" w:lineRule="exact"/>
        <w:jc w:val="center"/>
        <w:rPr>
          <w:rFonts w:ascii="宋体" w:hAnsi="宋体" w:cs="宋体"/>
          <w:sz w:val="44"/>
          <w:szCs w:val="44"/>
        </w:rPr>
      </w:pPr>
    </w:p>
    <w:p w14:paraId="35BC4D66">
      <w:pPr>
        <w:spacing w:line="680" w:lineRule="exact"/>
        <w:jc w:val="center"/>
        <w:rPr>
          <w:rFonts w:ascii="宋体" w:hAnsi="宋体" w:cs="宋体"/>
          <w:sz w:val="44"/>
          <w:szCs w:val="44"/>
        </w:rPr>
      </w:pPr>
    </w:p>
    <w:p w14:paraId="3F59DA79">
      <w:pPr>
        <w:spacing w:line="480" w:lineRule="exact"/>
        <w:ind w:firstLine="750" w:firstLineChars="250"/>
        <w:jc w:val="center"/>
        <w:rPr>
          <w:rFonts w:ascii="宋体" w:hAnsi="宋体" w:cs="宋体"/>
          <w:sz w:val="30"/>
          <w:szCs w:val="30"/>
        </w:rPr>
      </w:pPr>
    </w:p>
    <w:p w14:paraId="0B4B3E93">
      <w:pPr>
        <w:spacing w:line="480" w:lineRule="exact"/>
        <w:jc w:val="center"/>
        <w:rPr>
          <w:rFonts w:ascii="宋体" w:hAnsi="宋体" w:cs="宋体"/>
          <w:sz w:val="36"/>
          <w:szCs w:val="36"/>
        </w:rPr>
      </w:pPr>
    </w:p>
    <w:p w14:paraId="0789CBF8">
      <w:pPr>
        <w:spacing w:line="480" w:lineRule="exact"/>
        <w:jc w:val="center"/>
        <w:rPr>
          <w:rFonts w:ascii="宋体" w:hAnsi="宋体" w:cs="宋体"/>
          <w:sz w:val="36"/>
          <w:szCs w:val="36"/>
        </w:rPr>
      </w:pPr>
      <w:r>
        <w:rPr>
          <w:rFonts w:hint="eastAsia" w:ascii="宋体" w:hAnsi="宋体" w:cs="宋体"/>
          <w:sz w:val="36"/>
          <w:szCs w:val="36"/>
        </w:rPr>
        <w:t>常州市城投建设工程招标有限公司</w:t>
      </w:r>
    </w:p>
    <w:p w14:paraId="6B72CB9C">
      <w:pPr>
        <w:jc w:val="center"/>
        <w:rPr>
          <w:rFonts w:ascii="宋体" w:hAnsi="宋体" w:cs="宋体"/>
          <w:sz w:val="36"/>
          <w:szCs w:val="36"/>
        </w:rPr>
      </w:pPr>
    </w:p>
    <w:p w14:paraId="5BB6FCDF">
      <w:pPr>
        <w:jc w:val="center"/>
        <w:rPr>
          <w:rFonts w:ascii="宋体" w:hAnsi="宋体" w:cs="宋体"/>
          <w:b/>
          <w:sz w:val="30"/>
        </w:rPr>
      </w:pPr>
      <w:r>
        <w:rPr>
          <w:rFonts w:hint="eastAsia" w:ascii="宋体" w:hAnsi="宋体" w:cs="宋体"/>
          <w:w w:val="90"/>
          <w:sz w:val="44"/>
          <w:szCs w:val="44"/>
        </w:rPr>
        <w:t>二〇二</w:t>
      </w:r>
      <w:r>
        <w:rPr>
          <w:rFonts w:hint="eastAsia" w:ascii="宋体" w:hAnsi="宋体" w:cs="宋体"/>
          <w:w w:val="90"/>
          <w:sz w:val="44"/>
          <w:szCs w:val="44"/>
          <w:lang w:val="en-US" w:eastAsia="zh-CN"/>
        </w:rPr>
        <w:t>五</w:t>
      </w:r>
      <w:r>
        <w:rPr>
          <w:rFonts w:hint="eastAsia" w:ascii="宋体" w:hAnsi="宋体" w:cs="宋体"/>
          <w:w w:val="90"/>
          <w:sz w:val="44"/>
          <w:szCs w:val="44"/>
        </w:rPr>
        <w:t>年</w:t>
      </w:r>
      <w:r>
        <w:rPr>
          <w:rFonts w:hint="eastAsia" w:ascii="宋体" w:hAnsi="宋体" w:cs="宋体"/>
          <w:w w:val="90"/>
          <w:sz w:val="44"/>
          <w:szCs w:val="44"/>
          <w:lang w:val="en-US" w:eastAsia="zh-CN"/>
        </w:rPr>
        <w:t>七</w:t>
      </w:r>
      <w:r>
        <w:rPr>
          <w:rFonts w:hint="eastAsia" w:ascii="宋体" w:hAnsi="宋体" w:cs="宋体"/>
          <w:w w:val="90"/>
          <w:sz w:val="44"/>
          <w:szCs w:val="44"/>
        </w:rPr>
        <w:t>月</w:t>
      </w:r>
    </w:p>
    <w:p w14:paraId="71385F60">
      <w:pPr>
        <w:spacing w:before="100" w:after="240" w:line="500" w:lineRule="exact"/>
        <w:jc w:val="center"/>
        <w:rPr>
          <w:rFonts w:ascii="宋体" w:hAnsi="宋体" w:cs="宋体"/>
          <w:b/>
          <w:sz w:val="44"/>
          <w:szCs w:val="44"/>
        </w:rPr>
      </w:pPr>
    </w:p>
    <w:p w14:paraId="77E97491">
      <w:pPr>
        <w:spacing w:before="100" w:after="240" w:line="500" w:lineRule="exact"/>
        <w:jc w:val="center"/>
        <w:rPr>
          <w:rFonts w:ascii="宋体" w:hAnsi="宋体" w:cs="宋体"/>
          <w:b/>
          <w:sz w:val="44"/>
          <w:szCs w:val="44"/>
        </w:rPr>
      </w:pPr>
    </w:p>
    <w:p w14:paraId="44569D67">
      <w:pPr>
        <w:spacing w:before="100" w:after="240" w:line="500" w:lineRule="exact"/>
        <w:jc w:val="center"/>
        <w:rPr>
          <w:rFonts w:ascii="宋体" w:hAnsi="宋体" w:cs="宋体"/>
          <w:b/>
          <w:sz w:val="44"/>
          <w:szCs w:val="44"/>
        </w:rPr>
      </w:pPr>
    </w:p>
    <w:sdt>
      <w:sdtPr>
        <w:rPr>
          <w:rFonts w:hint="eastAsia" w:ascii="宋体" w:hAnsi="宋体" w:eastAsia="宋体" w:cs="宋体"/>
          <w:b w:val="0"/>
          <w:bCs w:val="0"/>
          <w:color w:val="auto"/>
          <w:kern w:val="2"/>
          <w:sz w:val="21"/>
          <w:szCs w:val="20"/>
          <w:lang w:val="zh-CN"/>
        </w:rPr>
        <w:id w:val="21916659"/>
        <w:docPartObj>
          <w:docPartGallery w:val="Table of Contents"/>
          <w:docPartUnique/>
        </w:docPartObj>
      </w:sdtPr>
      <w:sdtEndPr>
        <w:rPr>
          <w:rFonts w:hint="eastAsia" w:ascii="宋体" w:hAnsi="宋体" w:eastAsia="宋体" w:cs="宋体"/>
          <w:b w:val="0"/>
          <w:bCs w:val="0"/>
          <w:color w:val="auto"/>
          <w:kern w:val="2"/>
          <w:sz w:val="21"/>
          <w:szCs w:val="20"/>
          <w:lang w:val="en-US"/>
        </w:rPr>
      </w:sdtEndPr>
      <w:sdtContent>
        <w:p w14:paraId="34E5D82F">
          <w:pPr>
            <w:pStyle w:val="60"/>
            <w:jc w:val="center"/>
            <w:rPr>
              <w:rFonts w:ascii="宋体" w:hAnsi="宋体" w:eastAsia="宋体" w:cs="宋体"/>
              <w:color w:val="auto"/>
              <w:sz w:val="44"/>
              <w:szCs w:val="44"/>
              <w:lang w:val="zh-CN"/>
            </w:rPr>
          </w:pPr>
          <w:r>
            <w:rPr>
              <w:rFonts w:hint="eastAsia" w:ascii="宋体" w:hAnsi="宋体" w:eastAsia="宋体" w:cs="宋体"/>
              <w:color w:val="auto"/>
              <w:sz w:val="44"/>
              <w:szCs w:val="44"/>
              <w:lang w:val="zh-CN"/>
            </w:rPr>
            <w:t>目  录</w:t>
          </w:r>
        </w:p>
        <w:p w14:paraId="600CF413">
          <w:pPr>
            <w:rPr>
              <w:rFonts w:ascii="宋体" w:hAnsi="宋体" w:cs="宋体"/>
              <w:lang w:val="zh-CN"/>
            </w:rPr>
          </w:pPr>
        </w:p>
        <w:p w14:paraId="08570519">
          <w:pPr>
            <w:pStyle w:val="17"/>
            <w:rPr>
              <w:rFonts w:ascii="宋体" w:hAnsi="宋体" w:cs="宋体"/>
              <w:b/>
              <w:sz w:val="32"/>
              <w:szCs w:val="32"/>
            </w:rPr>
          </w:pPr>
          <w:r>
            <w:rPr>
              <w:rFonts w:hint="eastAsia" w:ascii="宋体" w:hAnsi="宋体" w:cs="宋体"/>
              <w:b/>
              <w:sz w:val="32"/>
              <w:szCs w:val="32"/>
            </w:rPr>
            <w:fldChar w:fldCharType="begin"/>
          </w:r>
          <w:r>
            <w:rPr>
              <w:rFonts w:hint="eastAsia" w:ascii="宋体" w:hAnsi="宋体" w:cs="宋体"/>
              <w:b/>
              <w:sz w:val="32"/>
              <w:szCs w:val="32"/>
            </w:rPr>
            <w:instrText xml:space="preserve"> TOC \o "1-3" \h \z \u </w:instrText>
          </w:r>
          <w:r>
            <w:rPr>
              <w:rFonts w:hint="eastAsia" w:ascii="宋体" w:hAnsi="宋体" w:cs="宋体"/>
              <w:b/>
              <w:sz w:val="32"/>
              <w:szCs w:val="32"/>
            </w:rPr>
            <w:fldChar w:fldCharType="separate"/>
          </w:r>
          <w:r>
            <w:fldChar w:fldCharType="begin"/>
          </w:r>
          <w:r>
            <w:instrText xml:space="preserve"> HYPERLINK \l "_Toc17537926" </w:instrText>
          </w:r>
          <w:r>
            <w:fldChar w:fldCharType="separate"/>
          </w:r>
          <w:r>
            <w:rPr>
              <w:rStyle w:val="25"/>
              <w:rFonts w:hint="eastAsia" w:ascii="宋体" w:hAnsi="宋体" w:cs="宋体"/>
              <w:b/>
              <w:sz w:val="32"/>
              <w:szCs w:val="32"/>
            </w:rPr>
            <w:t>竞争性磋商公告</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_Toc17537926 \h </w:instrText>
          </w:r>
          <w:r>
            <w:rPr>
              <w:rFonts w:hint="eastAsia" w:ascii="宋体" w:hAnsi="宋体" w:cs="宋体"/>
              <w:b/>
              <w:sz w:val="32"/>
              <w:szCs w:val="32"/>
            </w:rPr>
            <w:fldChar w:fldCharType="separate"/>
          </w:r>
          <w:r>
            <w:rPr>
              <w:rFonts w:ascii="宋体" w:hAnsi="宋体" w:cs="宋体"/>
              <w:b/>
              <w:sz w:val="32"/>
              <w:szCs w:val="32"/>
            </w:rPr>
            <w:t>3</w:t>
          </w:r>
          <w:r>
            <w:rPr>
              <w:rFonts w:hint="eastAsia" w:ascii="宋体" w:hAnsi="宋体" w:cs="宋体"/>
              <w:b/>
              <w:sz w:val="32"/>
              <w:szCs w:val="32"/>
            </w:rPr>
            <w:fldChar w:fldCharType="end"/>
          </w:r>
          <w:r>
            <w:rPr>
              <w:rFonts w:hint="eastAsia" w:ascii="宋体" w:hAnsi="宋体" w:cs="宋体"/>
              <w:b/>
              <w:sz w:val="32"/>
              <w:szCs w:val="32"/>
            </w:rPr>
            <w:fldChar w:fldCharType="end"/>
          </w:r>
        </w:p>
        <w:p w14:paraId="323D19F7">
          <w:pPr>
            <w:pStyle w:val="17"/>
            <w:rPr>
              <w:rFonts w:ascii="宋体" w:hAnsi="宋体" w:cs="宋体"/>
              <w:b/>
              <w:sz w:val="32"/>
              <w:szCs w:val="32"/>
            </w:rPr>
          </w:pPr>
          <w:r>
            <w:fldChar w:fldCharType="begin"/>
          </w:r>
          <w:r>
            <w:instrText xml:space="preserve"> HYPERLINK \l "_Toc17537927" </w:instrText>
          </w:r>
          <w:r>
            <w:fldChar w:fldCharType="separate"/>
          </w:r>
          <w:r>
            <w:rPr>
              <w:rStyle w:val="25"/>
              <w:rFonts w:hint="eastAsia" w:ascii="宋体" w:hAnsi="宋体" w:cs="宋体"/>
              <w:b/>
              <w:sz w:val="32"/>
              <w:szCs w:val="32"/>
            </w:rPr>
            <w:t>第一章  总    则</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_Toc17537927 \h </w:instrText>
          </w:r>
          <w:r>
            <w:rPr>
              <w:rFonts w:hint="eastAsia" w:ascii="宋体" w:hAnsi="宋体" w:cs="宋体"/>
              <w:b/>
              <w:sz w:val="32"/>
              <w:szCs w:val="32"/>
            </w:rPr>
            <w:fldChar w:fldCharType="separate"/>
          </w:r>
          <w:r>
            <w:rPr>
              <w:rFonts w:ascii="宋体" w:hAnsi="宋体" w:cs="宋体"/>
              <w:b/>
              <w:sz w:val="32"/>
              <w:szCs w:val="32"/>
            </w:rPr>
            <w:t>7</w:t>
          </w:r>
          <w:r>
            <w:rPr>
              <w:rFonts w:hint="eastAsia" w:ascii="宋体" w:hAnsi="宋体" w:cs="宋体"/>
              <w:b/>
              <w:sz w:val="32"/>
              <w:szCs w:val="32"/>
            </w:rPr>
            <w:fldChar w:fldCharType="end"/>
          </w:r>
          <w:r>
            <w:rPr>
              <w:rFonts w:hint="eastAsia" w:ascii="宋体" w:hAnsi="宋体" w:cs="宋体"/>
              <w:b/>
              <w:sz w:val="32"/>
              <w:szCs w:val="32"/>
            </w:rPr>
            <w:fldChar w:fldCharType="end"/>
          </w:r>
        </w:p>
        <w:p w14:paraId="4851CA6B">
          <w:pPr>
            <w:pStyle w:val="17"/>
            <w:rPr>
              <w:rFonts w:ascii="宋体" w:hAnsi="宋体" w:cs="宋体"/>
              <w:b/>
              <w:sz w:val="32"/>
              <w:szCs w:val="32"/>
            </w:rPr>
          </w:pPr>
          <w:r>
            <w:fldChar w:fldCharType="begin"/>
          </w:r>
          <w:r>
            <w:instrText xml:space="preserve"> HYPERLINK \l "_Toc17537928" </w:instrText>
          </w:r>
          <w:r>
            <w:fldChar w:fldCharType="separate"/>
          </w:r>
          <w:r>
            <w:rPr>
              <w:rStyle w:val="25"/>
              <w:rFonts w:hint="eastAsia" w:ascii="宋体" w:hAnsi="宋体" w:cs="宋体"/>
              <w:b/>
              <w:sz w:val="32"/>
              <w:szCs w:val="32"/>
            </w:rPr>
            <w:t>第二章  采购项目及技术要求</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_Toc17537928 \h </w:instrText>
          </w:r>
          <w:r>
            <w:rPr>
              <w:rFonts w:hint="eastAsia" w:ascii="宋体" w:hAnsi="宋体" w:cs="宋体"/>
              <w:b/>
              <w:sz w:val="32"/>
              <w:szCs w:val="32"/>
            </w:rPr>
            <w:fldChar w:fldCharType="separate"/>
          </w:r>
          <w:r>
            <w:rPr>
              <w:rFonts w:ascii="宋体" w:hAnsi="宋体" w:cs="宋体"/>
              <w:b/>
              <w:sz w:val="32"/>
              <w:szCs w:val="32"/>
            </w:rPr>
            <w:t>16</w:t>
          </w:r>
          <w:r>
            <w:rPr>
              <w:rFonts w:hint="eastAsia" w:ascii="宋体" w:hAnsi="宋体" w:cs="宋体"/>
              <w:b/>
              <w:sz w:val="32"/>
              <w:szCs w:val="32"/>
            </w:rPr>
            <w:fldChar w:fldCharType="end"/>
          </w:r>
          <w:r>
            <w:rPr>
              <w:rFonts w:hint="eastAsia" w:ascii="宋体" w:hAnsi="宋体" w:cs="宋体"/>
              <w:b/>
              <w:sz w:val="32"/>
              <w:szCs w:val="32"/>
            </w:rPr>
            <w:fldChar w:fldCharType="end"/>
          </w:r>
        </w:p>
        <w:p w14:paraId="421ED9F6">
          <w:pPr>
            <w:pStyle w:val="17"/>
            <w:rPr>
              <w:rFonts w:ascii="宋体" w:hAnsi="宋体" w:cs="宋体"/>
              <w:b/>
              <w:sz w:val="32"/>
              <w:szCs w:val="32"/>
            </w:rPr>
          </w:pPr>
          <w:r>
            <w:fldChar w:fldCharType="begin"/>
          </w:r>
          <w:r>
            <w:instrText xml:space="preserve"> HYPERLINK \l "_Toc17537929" </w:instrText>
          </w:r>
          <w:r>
            <w:fldChar w:fldCharType="separate"/>
          </w:r>
          <w:r>
            <w:rPr>
              <w:rStyle w:val="25"/>
              <w:rFonts w:hint="eastAsia" w:ascii="宋体" w:hAnsi="宋体" w:cs="宋体"/>
              <w:b/>
              <w:sz w:val="32"/>
              <w:szCs w:val="32"/>
            </w:rPr>
            <w:t>第三章  合同主要条款</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_Toc17537929 \h </w:instrText>
          </w:r>
          <w:r>
            <w:rPr>
              <w:rFonts w:hint="eastAsia" w:ascii="宋体" w:hAnsi="宋体" w:cs="宋体"/>
              <w:b/>
              <w:sz w:val="32"/>
              <w:szCs w:val="32"/>
            </w:rPr>
            <w:fldChar w:fldCharType="separate"/>
          </w:r>
          <w:r>
            <w:rPr>
              <w:rFonts w:ascii="宋体" w:hAnsi="宋体" w:cs="宋体"/>
              <w:b/>
              <w:sz w:val="32"/>
              <w:szCs w:val="32"/>
            </w:rPr>
            <w:t>18</w:t>
          </w:r>
          <w:r>
            <w:rPr>
              <w:rFonts w:hint="eastAsia" w:ascii="宋体" w:hAnsi="宋体" w:cs="宋体"/>
              <w:b/>
              <w:sz w:val="32"/>
              <w:szCs w:val="32"/>
            </w:rPr>
            <w:fldChar w:fldCharType="end"/>
          </w:r>
          <w:r>
            <w:rPr>
              <w:rFonts w:hint="eastAsia" w:ascii="宋体" w:hAnsi="宋体" w:cs="宋体"/>
              <w:b/>
              <w:sz w:val="32"/>
              <w:szCs w:val="32"/>
            </w:rPr>
            <w:fldChar w:fldCharType="end"/>
          </w:r>
        </w:p>
        <w:p w14:paraId="5F19AE72">
          <w:pPr>
            <w:pStyle w:val="17"/>
            <w:rPr>
              <w:rFonts w:ascii="宋体" w:hAnsi="宋体" w:cs="宋体"/>
              <w:b/>
              <w:sz w:val="32"/>
              <w:szCs w:val="32"/>
            </w:rPr>
          </w:pPr>
          <w:r>
            <w:fldChar w:fldCharType="begin"/>
          </w:r>
          <w:r>
            <w:instrText xml:space="preserve"> HYPERLINK \l "_Toc17537930" </w:instrText>
          </w:r>
          <w:r>
            <w:fldChar w:fldCharType="separate"/>
          </w:r>
          <w:r>
            <w:rPr>
              <w:rStyle w:val="25"/>
              <w:rFonts w:hint="eastAsia" w:ascii="宋体" w:hAnsi="宋体" w:cs="宋体"/>
              <w:b/>
              <w:sz w:val="32"/>
              <w:szCs w:val="32"/>
            </w:rPr>
            <w:t>第四章  评审细则</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_Toc17537930 \h </w:instrText>
          </w:r>
          <w:r>
            <w:rPr>
              <w:rFonts w:hint="eastAsia" w:ascii="宋体" w:hAnsi="宋体" w:cs="宋体"/>
              <w:b/>
              <w:sz w:val="32"/>
              <w:szCs w:val="32"/>
            </w:rPr>
            <w:fldChar w:fldCharType="separate"/>
          </w:r>
          <w:r>
            <w:rPr>
              <w:rFonts w:ascii="宋体" w:hAnsi="宋体" w:cs="宋体"/>
              <w:b/>
              <w:sz w:val="32"/>
              <w:szCs w:val="32"/>
            </w:rPr>
            <w:t>21</w:t>
          </w:r>
          <w:r>
            <w:rPr>
              <w:rFonts w:hint="eastAsia" w:ascii="宋体" w:hAnsi="宋体" w:cs="宋体"/>
              <w:b/>
              <w:sz w:val="32"/>
              <w:szCs w:val="32"/>
            </w:rPr>
            <w:fldChar w:fldCharType="end"/>
          </w:r>
          <w:r>
            <w:rPr>
              <w:rFonts w:hint="eastAsia" w:ascii="宋体" w:hAnsi="宋体" w:cs="宋体"/>
              <w:b/>
              <w:sz w:val="32"/>
              <w:szCs w:val="32"/>
            </w:rPr>
            <w:fldChar w:fldCharType="end"/>
          </w:r>
        </w:p>
        <w:p w14:paraId="5C5A3E70">
          <w:pPr>
            <w:pStyle w:val="17"/>
            <w:rPr>
              <w:rFonts w:ascii="宋体" w:hAnsi="宋体" w:cs="宋体"/>
              <w:b/>
              <w:sz w:val="32"/>
              <w:szCs w:val="32"/>
            </w:rPr>
          </w:pPr>
          <w:r>
            <w:fldChar w:fldCharType="begin"/>
          </w:r>
          <w:r>
            <w:instrText xml:space="preserve"> HYPERLINK \l "_Toc17537931" </w:instrText>
          </w:r>
          <w:r>
            <w:fldChar w:fldCharType="separate"/>
          </w:r>
          <w:r>
            <w:rPr>
              <w:rStyle w:val="25"/>
              <w:rFonts w:hint="eastAsia" w:ascii="宋体" w:hAnsi="宋体" w:cs="宋体"/>
              <w:b/>
              <w:sz w:val="32"/>
              <w:szCs w:val="32"/>
            </w:rPr>
            <w:t>第五章  磋商响应文件的组成</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_Toc17537931 \h </w:instrText>
          </w:r>
          <w:r>
            <w:rPr>
              <w:rFonts w:hint="eastAsia" w:ascii="宋体" w:hAnsi="宋体" w:cs="宋体"/>
              <w:b/>
              <w:sz w:val="32"/>
              <w:szCs w:val="32"/>
            </w:rPr>
            <w:fldChar w:fldCharType="separate"/>
          </w:r>
          <w:r>
            <w:rPr>
              <w:rFonts w:ascii="宋体" w:hAnsi="宋体" w:cs="宋体"/>
              <w:b/>
              <w:sz w:val="32"/>
              <w:szCs w:val="32"/>
            </w:rPr>
            <w:t>22</w:t>
          </w:r>
          <w:r>
            <w:rPr>
              <w:rFonts w:hint="eastAsia" w:ascii="宋体" w:hAnsi="宋体" w:cs="宋体"/>
              <w:b/>
              <w:sz w:val="32"/>
              <w:szCs w:val="32"/>
            </w:rPr>
            <w:fldChar w:fldCharType="end"/>
          </w:r>
          <w:r>
            <w:rPr>
              <w:rFonts w:hint="eastAsia" w:ascii="宋体" w:hAnsi="宋体" w:cs="宋体"/>
              <w:b/>
              <w:sz w:val="32"/>
              <w:szCs w:val="32"/>
            </w:rPr>
            <w:fldChar w:fldCharType="end"/>
          </w:r>
        </w:p>
        <w:p w14:paraId="2D1974E8">
          <w:pPr>
            <w:pStyle w:val="17"/>
            <w:rPr>
              <w:rFonts w:ascii="宋体" w:hAnsi="宋体" w:cs="宋体"/>
              <w:b/>
              <w:sz w:val="32"/>
              <w:szCs w:val="32"/>
            </w:rPr>
          </w:pPr>
          <w:r>
            <w:fldChar w:fldCharType="begin"/>
          </w:r>
          <w:r>
            <w:instrText xml:space="preserve"> HYPERLINK \l "_Toc17537932" </w:instrText>
          </w:r>
          <w:r>
            <w:fldChar w:fldCharType="separate"/>
          </w:r>
          <w:r>
            <w:rPr>
              <w:rStyle w:val="25"/>
              <w:rFonts w:hint="eastAsia" w:ascii="宋体" w:hAnsi="宋体" w:cs="宋体"/>
              <w:b/>
              <w:sz w:val="32"/>
              <w:szCs w:val="32"/>
            </w:rPr>
            <w:t>第六章  附    件</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_Toc17537932 \h </w:instrText>
          </w:r>
          <w:r>
            <w:rPr>
              <w:rFonts w:hint="eastAsia" w:ascii="宋体" w:hAnsi="宋体" w:cs="宋体"/>
              <w:b/>
              <w:sz w:val="32"/>
              <w:szCs w:val="32"/>
            </w:rPr>
            <w:fldChar w:fldCharType="separate"/>
          </w:r>
          <w:r>
            <w:rPr>
              <w:rFonts w:ascii="宋体" w:hAnsi="宋体" w:cs="宋体"/>
              <w:b/>
              <w:sz w:val="32"/>
              <w:szCs w:val="32"/>
            </w:rPr>
            <w:t>23</w:t>
          </w:r>
          <w:r>
            <w:rPr>
              <w:rFonts w:hint="eastAsia" w:ascii="宋体" w:hAnsi="宋体" w:cs="宋体"/>
              <w:b/>
              <w:sz w:val="32"/>
              <w:szCs w:val="32"/>
            </w:rPr>
            <w:fldChar w:fldCharType="end"/>
          </w:r>
          <w:r>
            <w:rPr>
              <w:rFonts w:hint="eastAsia" w:ascii="宋体" w:hAnsi="宋体" w:cs="宋体"/>
              <w:b/>
              <w:sz w:val="32"/>
              <w:szCs w:val="32"/>
            </w:rPr>
            <w:fldChar w:fldCharType="end"/>
          </w:r>
        </w:p>
        <w:p w14:paraId="5083F1CF">
          <w:pPr>
            <w:rPr>
              <w:rFonts w:ascii="宋体" w:hAnsi="宋体" w:cs="宋体"/>
            </w:rPr>
          </w:pPr>
          <w:r>
            <w:rPr>
              <w:rFonts w:hint="eastAsia" w:ascii="宋体" w:hAnsi="宋体" w:cs="宋体"/>
              <w:b/>
              <w:sz w:val="32"/>
              <w:szCs w:val="32"/>
            </w:rPr>
            <w:fldChar w:fldCharType="end"/>
          </w:r>
        </w:p>
      </w:sdtContent>
    </w:sdt>
    <w:p w14:paraId="36E21DBF">
      <w:pPr>
        <w:spacing w:line="360" w:lineRule="auto"/>
        <w:jc w:val="center"/>
        <w:rPr>
          <w:rFonts w:ascii="宋体" w:hAnsi="宋体" w:cs="宋体"/>
          <w:b/>
          <w:bCs/>
          <w:sz w:val="24"/>
          <w:szCs w:val="24"/>
        </w:rPr>
      </w:pPr>
    </w:p>
    <w:p w14:paraId="6BB939ED">
      <w:pPr>
        <w:spacing w:line="360" w:lineRule="auto"/>
        <w:rPr>
          <w:rFonts w:ascii="宋体" w:hAnsi="宋体" w:cs="宋体"/>
          <w:b/>
          <w:bCs/>
          <w:sz w:val="24"/>
          <w:szCs w:val="24"/>
        </w:rPr>
      </w:pPr>
    </w:p>
    <w:p w14:paraId="71312C2B">
      <w:pPr>
        <w:spacing w:line="360" w:lineRule="auto"/>
        <w:rPr>
          <w:rFonts w:ascii="宋体" w:hAnsi="宋体" w:cs="宋体"/>
          <w:b/>
          <w:bCs/>
          <w:sz w:val="24"/>
          <w:szCs w:val="24"/>
        </w:rPr>
      </w:pPr>
    </w:p>
    <w:p w14:paraId="2E496588">
      <w:pPr>
        <w:spacing w:line="360" w:lineRule="auto"/>
        <w:rPr>
          <w:rFonts w:ascii="宋体" w:hAnsi="宋体" w:cs="宋体"/>
          <w:b/>
          <w:bCs/>
          <w:sz w:val="24"/>
          <w:szCs w:val="24"/>
        </w:rPr>
      </w:pPr>
    </w:p>
    <w:p w14:paraId="1E27F50D">
      <w:pPr>
        <w:spacing w:line="360" w:lineRule="auto"/>
        <w:rPr>
          <w:rFonts w:ascii="宋体" w:hAnsi="宋体" w:cs="宋体"/>
          <w:b/>
          <w:bCs/>
          <w:sz w:val="24"/>
          <w:szCs w:val="24"/>
        </w:rPr>
      </w:pPr>
    </w:p>
    <w:p w14:paraId="6DEDE3E9">
      <w:pPr>
        <w:spacing w:line="360" w:lineRule="auto"/>
        <w:rPr>
          <w:rFonts w:ascii="宋体" w:hAnsi="宋体" w:cs="宋体"/>
          <w:b/>
          <w:bCs/>
          <w:sz w:val="24"/>
          <w:szCs w:val="24"/>
        </w:rPr>
      </w:pPr>
    </w:p>
    <w:p w14:paraId="34B96B56">
      <w:pPr>
        <w:spacing w:line="360" w:lineRule="auto"/>
        <w:rPr>
          <w:rFonts w:ascii="宋体" w:hAnsi="宋体" w:cs="宋体"/>
          <w:b/>
          <w:bCs/>
          <w:sz w:val="24"/>
          <w:szCs w:val="24"/>
        </w:rPr>
      </w:pPr>
    </w:p>
    <w:p w14:paraId="47135B7D">
      <w:pPr>
        <w:spacing w:line="360" w:lineRule="auto"/>
        <w:rPr>
          <w:rFonts w:ascii="宋体" w:hAnsi="宋体" w:cs="宋体"/>
          <w:b/>
          <w:bCs/>
          <w:sz w:val="24"/>
          <w:szCs w:val="24"/>
        </w:rPr>
      </w:pPr>
    </w:p>
    <w:p w14:paraId="3EEB4702">
      <w:pPr>
        <w:spacing w:line="360" w:lineRule="auto"/>
        <w:rPr>
          <w:rFonts w:ascii="宋体" w:hAnsi="宋体" w:cs="宋体"/>
          <w:b/>
          <w:bCs/>
          <w:sz w:val="24"/>
          <w:szCs w:val="24"/>
        </w:rPr>
      </w:pPr>
    </w:p>
    <w:p w14:paraId="3514AE31">
      <w:pPr>
        <w:adjustRightInd w:val="0"/>
        <w:snapToGrid w:val="0"/>
        <w:spacing w:line="600" w:lineRule="exact"/>
        <w:jc w:val="center"/>
        <w:rPr>
          <w:rFonts w:ascii="黑体" w:hAnsi="黑体" w:eastAsia="黑体" w:cs="宋体"/>
          <w:b/>
          <w:color w:val="FF0000"/>
          <w:sz w:val="44"/>
          <w:szCs w:val="44"/>
          <w:u w:val="single"/>
        </w:rPr>
      </w:pPr>
      <w:r>
        <w:rPr>
          <w:rFonts w:ascii="黑体" w:hAnsi="黑体" w:eastAsia="黑体" w:cs="宋体"/>
          <w:b/>
          <w:color w:val="FF0000"/>
          <w:sz w:val="44"/>
          <w:szCs w:val="44"/>
          <w:u w:val="single"/>
        </w:rPr>
        <w:br w:type="page"/>
      </w:r>
    </w:p>
    <w:p w14:paraId="1EE9A434">
      <w:pPr>
        <w:adjustRightInd w:val="0"/>
        <w:snapToGrid w:val="0"/>
        <w:spacing w:line="600" w:lineRule="exact"/>
        <w:jc w:val="center"/>
        <w:rPr>
          <w:rFonts w:ascii="黑体" w:hAnsi="黑体" w:eastAsia="黑体" w:cs="宋体"/>
          <w:b/>
          <w:sz w:val="44"/>
          <w:szCs w:val="44"/>
        </w:rPr>
      </w:pPr>
      <w:r>
        <w:rPr>
          <w:rFonts w:hint="eastAsia" w:ascii="黑体" w:hAnsi="黑体" w:eastAsia="黑体" w:cs="宋体"/>
          <w:b/>
          <w:kern w:val="0"/>
          <w:sz w:val="44"/>
          <w:szCs w:val="44"/>
        </w:rPr>
        <w:t>常州市公安局天宁分局机关大楼进行房屋安全性鉴定及消防安全评估</w:t>
      </w:r>
      <w:r>
        <w:rPr>
          <w:rFonts w:hint="eastAsia" w:ascii="黑体" w:hAnsi="黑体" w:eastAsia="黑体" w:cs="宋体"/>
          <w:b/>
          <w:sz w:val="44"/>
          <w:szCs w:val="44"/>
        </w:rPr>
        <w:t>项目</w:t>
      </w:r>
    </w:p>
    <w:p w14:paraId="51E16823">
      <w:pPr>
        <w:pStyle w:val="2"/>
        <w:adjustRightInd w:val="0"/>
        <w:snapToGrid w:val="0"/>
        <w:spacing w:line="600" w:lineRule="exact"/>
        <w:rPr>
          <w:rFonts w:hAnsi="黑体" w:eastAsia="黑体" w:cs="宋体"/>
          <w:sz w:val="44"/>
          <w:szCs w:val="44"/>
        </w:rPr>
      </w:pPr>
      <w:bookmarkStart w:id="0" w:name="_Toc17537926"/>
      <w:r>
        <w:rPr>
          <w:rFonts w:hint="eastAsia" w:hAnsi="黑体" w:eastAsia="黑体" w:cs="宋体"/>
          <w:sz w:val="44"/>
          <w:szCs w:val="44"/>
        </w:rPr>
        <w:t>竞争性磋商公告</w:t>
      </w:r>
      <w:bookmarkEnd w:id="0"/>
    </w:p>
    <w:p w14:paraId="3FCCB21E">
      <w:pPr>
        <w:pBdr>
          <w:top w:val="single" w:color="auto" w:sz="4" w:space="1"/>
          <w:left w:val="single" w:color="auto" w:sz="4" w:space="4"/>
          <w:bottom w:val="single" w:color="auto" w:sz="4" w:space="9"/>
          <w:right w:val="single" w:color="auto" w:sz="4" w:space="4"/>
        </w:pBd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项目概况</w:t>
      </w:r>
    </w:p>
    <w:p w14:paraId="05D6A8DD">
      <w:pPr>
        <w:pBdr>
          <w:top w:val="single" w:color="auto" w:sz="4" w:space="1"/>
          <w:left w:val="single" w:color="auto" w:sz="4" w:space="4"/>
          <w:bottom w:val="single" w:color="auto" w:sz="4" w:space="9"/>
          <w:right w:val="single" w:color="auto" w:sz="4" w:space="4"/>
        </w:pBdr>
        <w:spacing w:line="600" w:lineRule="exact"/>
        <w:ind w:firstLine="640" w:firstLineChars="200"/>
        <w:rPr>
          <w:rFonts w:ascii="仿宋" w:hAnsi="仿宋" w:eastAsia="仿宋" w:cs="宋体"/>
          <w:sz w:val="32"/>
          <w:szCs w:val="32"/>
        </w:rPr>
      </w:pPr>
      <w:r>
        <w:rPr>
          <w:rFonts w:hint="eastAsia" w:ascii="仿宋" w:hAnsi="仿宋" w:eastAsia="仿宋" w:cs="宋体"/>
          <w:color w:val="auto"/>
          <w:sz w:val="32"/>
          <w:szCs w:val="32"/>
        </w:rPr>
        <w:t>常州市公安局天宁分局机关大楼进行房屋安全性鉴定及消防安全评估项目的</w:t>
      </w:r>
      <w:r>
        <w:rPr>
          <w:rFonts w:hint="eastAsia" w:ascii="仿宋" w:hAnsi="仿宋" w:eastAsia="仿宋" w:cs="宋体"/>
          <w:sz w:val="32"/>
          <w:szCs w:val="32"/>
        </w:rPr>
        <w:t>潜在供应商应在常州市城投建设工程招标有限</w:t>
      </w:r>
      <w:r>
        <w:rPr>
          <w:rFonts w:hint="eastAsia" w:ascii="仿宋" w:hAnsi="仿宋" w:eastAsia="仿宋" w:cs="宋体"/>
          <w:color w:val="auto"/>
          <w:sz w:val="32"/>
          <w:szCs w:val="32"/>
        </w:rPr>
        <w:t>公司获取采购文件，并于</w:t>
      </w:r>
      <w:r>
        <w:rPr>
          <w:rFonts w:hint="eastAsia" w:ascii="仿宋" w:hAnsi="仿宋" w:eastAsia="仿宋" w:cs="宋体"/>
          <w:color w:val="auto"/>
          <w:sz w:val="32"/>
          <w:szCs w:val="32"/>
          <w:lang w:val="en-US" w:eastAsia="zh-CN"/>
        </w:rPr>
        <w:t>2025年08月12日</w:t>
      </w:r>
      <w:r>
        <w:rPr>
          <w:rFonts w:hint="eastAsia" w:ascii="仿宋" w:hAnsi="仿宋" w:eastAsia="仿宋" w:cs="宋体"/>
          <w:b/>
          <w:bCs/>
          <w:color w:val="auto"/>
          <w:sz w:val="32"/>
          <w:szCs w:val="32"/>
          <w:lang w:val="en-US" w:eastAsia="zh-CN"/>
        </w:rPr>
        <w:t>14</w:t>
      </w:r>
      <w:r>
        <w:rPr>
          <w:rFonts w:hint="eastAsia" w:ascii="仿宋" w:hAnsi="仿宋" w:eastAsia="仿宋" w:cs="宋体"/>
          <w:b/>
          <w:bCs/>
          <w:color w:val="auto"/>
          <w:sz w:val="32"/>
          <w:szCs w:val="32"/>
        </w:rPr>
        <w:t>点</w:t>
      </w:r>
      <w:r>
        <w:rPr>
          <w:rFonts w:hint="eastAsia" w:ascii="仿宋" w:hAnsi="仿宋" w:eastAsia="仿宋" w:cs="宋体"/>
          <w:b/>
          <w:bCs/>
          <w:color w:val="auto"/>
          <w:sz w:val="32"/>
          <w:szCs w:val="32"/>
          <w:lang w:val="en-US" w:eastAsia="zh-CN"/>
        </w:rPr>
        <w:t>30</w:t>
      </w:r>
      <w:r>
        <w:rPr>
          <w:rFonts w:hint="eastAsia" w:ascii="仿宋" w:hAnsi="仿宋" w:eastAsia="仿宋" w:cs="宋体"/>
          <w:b/>
          <w:bCs/>
          <w:color w:val="auto"/>
          <w:sz w:val="32"/>
          <w:szCs w:val="32"/>
        </w:rPr>
        <w:t>分（北京时间）</w:t>
      </w:r>
      <w:r>
        <w:rPr>
          <w:rFonts w:hint="eastAsia" w:ascii="仿宋" w:hAnsi="仿宋" w:eastAsia="仿宋" w:cs="宋体"/>
          <w:color w:val="auto"/>
          <w:sz w:val="32"/>
          <w:szCs w:val="32"/>
        </w:rPr>
        <w:t>前</w:t>
      </w:r>
      <w:r>
        <w:rPr>
          <w:rFonts w:hint="eastAsia" w:ascii="仿宋" w:hAnsi="仿宋" w:eastAsia="仿宋" w:cs="宋体"/>
          <w:sz w:val="32"/>
          <w:szCs w:val="32"/>
        </w:rPr>
        <w:t>提交响应文件。</w:t>
      </w:r>
    </w:p>
    <w:p w14:paraId="47B4FC48">
      <w:pPr>
        <w:snapToGrid w:val="0"/>
        <w:spacing w:line="600" w:lineRule="exact"/>
        <w:ind w:firstLine="643" w:firstLineChars="200"/>
        <w:rPr>
          <w:rFonts w:ascii="仿宋" w:hAnsi="仿宋" w:eastAsia="仿宋" w:cs="宋体"/>
          <w:b/>
          <w:sz w:val="32"/>
          <w:szCs w:val="32"/>
        </w:rPr>
      </w:pPr>
      <w:r>
        <w:rPr>
          <w:rFonts w:hint="eastAsia" w:ascii="仿宋" w:hAnsi="仿宋" w:eastAsia="仿宋" w:cs="宋体"/>
          <w:b/>
          <w:sz w:val="32"/>
          <w:szCs w:val="32"/>
        </w:rPr>
        <w:t>一、项目基本情况</w:t>
      </w:r>
    </w:p>
    <w:p w14:paraId="46353F29">
      <w:pPr>
        <w:snapToGrid w:val="0"/>
        <w:spacing w:line="600" w:lineRule="exact"/>
        <w:ind w:firstLine="640" w:firstLineChars="200"/>
        <w:rPr>
          <w:rFonts w:hint="eastAsia" w:ascii="仿宋" w:hAnsi="仿宋" w:eastAsia="仿宋" w:cs="宋体"/>
          <w:sz w:val="32"/>
          <w:szCs w:val="32"/>
          <w:lang w:eastAsia="zh-CN"/>
        </w:rPr>
      </w:pPr>
      <w:r>
        <w:rPr>
          <w:rFonts w:hint="eastAsia" w:ascii="仿宋" w:hAnsi="仿宋" w:eastAsia="仿宋" w:cs="宋体"/>
          <w:sz w:val="32"/>
          <w:szCs w:val="32"/>
        </w:rPr>
        <w:t>1</w:t>
      </w:r>
      <w:r>
        <w:rPr>
          <w:rFonts w:hint="eastAsia" w:ascii="仿宋" w:hAnsi="仿宋" w:eastAsia="仿宋" w:cs="宋体"/>
          <w:color w:val="auto"/>
          <w:sz w:val="32"/>
          <w:szCs w:val="32"/>
        </w:rPr>
        <w:t>.项目编号：</w:t>
      </w:r>
      <w:r>
        <w:rPr>
          <w:rFonts w:hint="eastAsia" w:ascii="仿宋" w:hAnsi="仿宋" w:eastAsia="仿宋" w:cs="宋体"/>
          <w:color w:val="auto"/>
          <w:sz w:val="32"/>
          <w:szCs w:val="32"/>
          <w:lang w:eastAsia="zh-CN"/>
        </w:rPr>
        <w:t>CT-SC-2025332</w:t>
      </w:r>
    </w:p>
    <w:p w14:paraId="4DCAEDD7">
      <w:pPr>
        <w:snapToGrid w:val="0"/>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2.项目名称：</w:t>
      </w:r>
      <w:r>
        <w:rPr>
          <w:rFonts w:hint="eastAsia" w:ascii="仿宋" w:hAnsi="仿宋" w:eastAsia="仿宋"/>
          <w:sz w:val="32"/>
          <w:szCs w:val="32"/>
        </w:rPr>
        <w:t>天宁分局机关大楼进行房屋安全性鉴定及消防安全评估项目</w:t>
      </w:r>
    </w:p>
    <w:p w14:paraId="7238FEE3">
      <w:pPr>
        <w:snapToGrid w:val="0"/>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3.采购方式：竞争性磋商</w:t>
      </w:r>
    </w:p>
    <w:p w14:paraId="7920239D">
      <w:pPr>
        <w:snapToGrid w:val="0"/>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4.预算金额：人民币</w:t>
      </w:r>
      <w:r>
        <w:rPr>
          <w:rFonts w:hint="eastAsia" w:ascii="仿宋" w:hAnsi="仿宋" w:eastAsia="仿宋" w:cs="宋体"/>
          <w:color w:val="auto"/>
          <w:sz w:val="32"/>
          <w:szCs w:val="32"/>
          <w:highlight w:val="none"/>
          <w:lang w:val="en-US" w:eastAsia="zh-CN"/>
        </w:rPr>
        <w:t>120000</w:t>
      </w:r>
      <w:r>
        <w:rPr>
          <w:rFonts w:hint="eastAsia" w:ascii="仿宋" w:hAnsi="仿宋" w:eastAsia="仿宋" w:cs="宋体"/>
          <w:color w:val="auto"/>
          <w:sz w:val="32"/>
          <w:szCs w:val="32"/>
          <w:highlight w:val="none"/>
        </w:rPr>
        <w:t>元</w:t>
      </w:r>
    </w:p>
    <w:p w14:paraId="55578707">
      <w:pPr>
        <w:snapToGrid w:val="0"/>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5.最高限价：人民币</w:t>
      </w:r>
      <w:r>
        <w:rPr>
          <w:rFonts w:hint="eastAsia" w:ascii="仿宋" w:hAnsi="仿宋" w:eastAsia="仿宋" w:cs="宋体"/>
          <w:color w:val="auto"/>
          <w:sz w:val="32"/>
          <w:szCs w:val="32"/>
          <w:highlight w:val="none"/>
          <w:lang w:val="en-US" w:eastAsia="zh-CN"/>
        </w:rPr>
        <w:t>120000</w:t>
      </w:r>
      <w:r>
        <w:rPr>
          <w:rFonts w:hint="eastAsia" w:ascii="仿宋" w:hAnsi="仿宋" w:eastAsia="仿宋" w:cs="宋体"/>
          <w:color w:val="auto"/>
          <w:sz w:val="32"/>
          <w:szCs w:val="32"/>
          <w:highlight w:val="none"/>
        </w:rPr>
        <w:t>元</w:t>
      </w:r>
    </w:p>
    <w:p w14:paraId="02FECA8E">
      <w:pPr>
        <w:snapToGrid w:val="0"/>
        <w:spacing w:line="600" w:lineRule="exact"/>
        <w:ind w:firstLine="640" w:firstLineChars="200"/>
        <w:rPr>
          <w:rFonts w:ascii="仿宋" w:hAnsi="仿宋" w:eastAsia="仿宋" w:cs="宋体"/>
          <w:b/>
          <w:color w:val="auto"/>
          <w:spacing w:val="2"/>
          <w:sz w:val="32"/>
          <w:szCs w:val="32"/>
          <w:highlight w:val="none"/>
        </w:rPr>
      </w:pPr>
      <w:r>
        <w:rPr>
          <w:rFonts w:hint="eastAsia" w:ascii="仿宋" w:hAnsi="仿宋" w:eastAsia="仿宋" w:cs="宋体"/>
          <w:color w:val="auto"/>
          <w:sz w:val="32"/>
          <w:szCs w:val="32"/>
          <w:highlight w:val="none"/>
        </w:rPr>
        <w:t>6.采购需求：</w:t>
      </w:r>
      <w:r>
        <w:rPr>
          <w:rFonts w:hint="eastAsia" w:ascii="仿宋" w:hAnsi="仿宋" w:eastAsia="仿宋"/>
          <w:color w:val="auto"/>
          <w:spacing w:val="2"/>
          <w:sz w:val="32"/>
          <w:szCs w:val="32"/>
          <w:highlight w:val="none"/>
        </w:rPr>
        <w:t>天宁分局机关大楼建筑面积约18000平方米，于2012年建成并投入使用，因各种原因未完成竣工手续，现根据相关要求，对天宁分局机关大楼进行房屋安全性鉴定及消防安全评估。</w:t>
      </w:r>
    </w:p>
    <w:p w14:paraId="5E2544E2">
      <w:pPr>
        <w:snapToGrid w:val="0"/>
        <w:spacing w:line="600" w:lineRule="exact"/>
        <w:ind w:firstLine="640" w:firstLineChars="200"/>
        <w:rPr>
          <w:rFonts w:hint="eastAsia" w:ascii="仿宋" w:hAnsi="仿宋" w:eastAsia="仿宋" w:cs="宋体"/>
          <w:color w:val="auto"/>
          <w:sz w:val="32"/>
          <w:szCs w:val="32"/>
          <w:highlight w:val="none"/>
          <w:lang w:eastAsia="zh-CN"/>
        </w:rPr>
      </w:pPr>
      <w:r>
        <w:rPr>
          <w:rFonts w:hint="eastAsia" w:ascii="仿宋" w:hAnsi="仿宋" w:eastAsia="仿宋" w:cs="宋体"/>
          <w:color w:val="auto"/>
          <w:sz w:val="32"/>
          <w:szCs w:val="32"/>
          <w:highlight w:val="none"/>
        </w:rPr>
        <w:t>7.合同履行期限：</w:t>
      </w:r>
      <w:r>
        <w:rPr>
          <w:rFonts w:hint="eastAsia" w:ascii="仿宋" w:hAnsi="仿宋" w:eastAsia="仿宋"/>
          <w:color w:val="auto"/>
          <w:sz w:val="32"/>
          <w:szCs w:val="32"/>
          <w:highlight w:val="none"/>
        </w:rPr>
        <w:t>在受到招标人项目委托后15日历天内</w:t>
      </w:r>
      <w:r>
        <w:rPr>
          <w:rFonts w:hint="eastAsia" w:ascii="仿宋" w:hAnsi="仿宋" w:eastAsia="仿宋" w:cs="宋体"/>
          <w:color w:val="auto"/>
          <w:sz w:val="32"/>
          <w:szCs w:val="32"/>
          <w:highlight w:val="none"/>
        </w:rPr>
        <w:t>完成所有检测内容并向采购人提交正式检测鉴定报告</w:t>
      </w:r>
      <w:r>
        <w:rPr>
          <w:rFonts w:hint="eastAsia" w:ascii="仿宋" w:hAnsi="仿宋" w:eastAsia="仿宋" w:cs="宋体"/>
          <w:color w:val="auto"/>
          <w:sz w:val="32"/>
          <w:szCs w:val="32"/>
          <w:highlight w:val="none"/>
          <w:lang w:eastAsia="zh-CN"/>
        </w:rPr>
        <w:t>。</w:t>
      </w:r>
    </w:p>
    <w:p w14:paraId="486CAFF9">
      <w:pPr>
        <w:snapToGrid w:val="0"/>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8.</w:t>
      </w:r>
      <w:r>
        <w:rPr>
          <w:rFonts w:hint="eastAsia" w:ascii="仿宋" w:hAnsi="仿宋" w:eastAsia="仿宋" w:cs="宋体"/>
          <w:color w:val="auto"/>
          <w:sz w:val="32"/>
          <w:szCs w:val="32"/>
        </w:rPr>
        <w:t>本项目接受联</w:t>
      </w:r>
      <w:r>
        <w:rPr>
          <w:rFonts w:hint="eastAsia" w:ascii="仿宋" w:hAnsi="仿宋" w:eastAsia="仿宋" w:cs="宋体"/>
          <w:sz w:val="32"/>
          <w:szCs w:val="32"/>
        </w:rPr>
        <w:t>合体</w:t>
      </w:r>
      <w:r>
        <w:rPr>
          <w:rFonts w:hint="eastAsia" w:ascii="仿宋" w:hAnsi="仿宋" w:eastAsia="仿宋" w:cs="宋体"/>
          <w:sz w:val="32"/>
          <w:szCs w:val="32"/>
          <w:lang w:eastAsia="zh-CN"/>
        </w:rPr>
        <w:t>，</w:t>
      </w:r>
      <w:r>
        <w:rPr>
          <w:rFonts w:hint="eastAsia" w:ascii="仿宋" w:hAnsi="仿宋" w:eastAsia="仿宋" w:cs="宋体"/>
          <w:sz w:val="32"/>
          <w:szCs w:val="32"/>
        </w:rPr>
        <w:t>同一家联合企业不得与两家及以上企业组成联合体参加</w:t>
      </w:r>
      <w:r>
        <w:rPr>
          <w:rFonts w:hint="eastAsia" w:ascii="仿宋" w:hAnsi="仿宋" w:eastAsia="仿宋" w:cs="宋体"/>
          <w:sz w:val="32"/>
          <w:szCs w:val="32"/>
          <w:lang w:val="en-US" w:eastAsia="zh-CN"/>
        </w:rPr>
        <w:t>磋商</w:t>
      </w:r>
      <w:r>
        <w:rPr>
          <w:rFonts w:hint="eastAsia" w:ascii="仿宋" w:hAnsi="仿宋" w:eastAsia="仿宋" w:cs="宋体"/>
          <w:sz w:val="32"/>
          <w:szCs w:val="32"/>
        </w:rPr>
        <w:t>，否则将取消所有涉及该联合体的</w:t>
      </w:r>
      <w:r>
        <w:rPr>
          <w:rFonts w:hint="eastAsia" w:ascii="仿宋" w:hAnsi="仿宋" w:eastAsia="仿宋" w:cs="宋体"/>
          <w:sz w:val="32"/>
          <w:szCs w:val="32"/>
          <w:lang w:val="en-US" w:eastAsia="zh-CN"/>
        </w:rPr>
        <w:t>磋商</w:t>
      </w:r>
      <w:r>
        <w:rPr>
          <w:rFonts w:hint="eastAsia" w:ascii="仿宋" w:hAnsi="仿宋" w:eastAsia="仿宋" w:cs="宋体"/>
          <w:sz w:val="32"/>
          <w:szCs w:val="32"/>
        </w:rPr>
        <w:t>资格。</w:t>
      </w:r>
    </w:p>
    <w:p w14:paraId="112A9116">
      <w:pPr>
        <w:adjustRightInd w:val="0"/>
        <w:spacing w:line="600" w:lineRule="exact"/>
        <w:ind w:firstLine="646" w:firstLineChars="201"/>
        <w:rPr>
          <w:rFonts w:ascii="仿宋" w:hAnsi="仿宋" w:eastAsia="仿宋" w:cs="宋体"/>
          <w:b/>
          <w:kern w:val="0"/>
          <w:sz w:val="32"/>
          <w:szCs w:val="32"/>
        </w:rPr>
      </w:pPr>
      <w:r>
        <w:rPr>
          <w:rFonts w:hint="eastAsia" w:ascii="仿宋" w:hAnsi="仿宋" w:eastAsia="仿宋" w:cs="宋体"/>
          <w:b/>
          <w:kern w:val="0"/>
          <w:sz w:val="32"/>
          <w:szCs w:val="32"/>
        </w:rPr>
        <w:t xml:space="preserve">二、申请人的资格要求 </w:t>
      </w:r>
    </w:p>
    <w:p w14:paraId="556A335A">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1.</w:t>
      </w:r>
      <w:r>
        <w:rPr>
          <w:rFonts w:hint="eastAsia" w:ascii="仿宋" w:hAnsi="仿宋" w:eastAsia="仿宋" w:cs="宋体"/>
          <w:sz w:val="32"/>
          <w:szCs w:val="32"/>
        </w:rPr>
        <w:t>在中华人民共和国境内注册，</w:t>
      </w:r>
      <w:r>
        <w:rPr>
          <w:rFonts w:hint="eastAsia" w:ascii="仿宋" w:hAnsi="仿宋" w:eastAsia="仿宋" w:cs="宋体"/>
          <w:color w:val="000000"/>
          <w:sz w:val="32"/>
          <w:szCs w:val="32"/>
        </w:rPr>
        <w:t xml:space="preserve">具有独立承担民事责任的能力； </w:t>
      </w:r>
    </w:p>
    <w:p w14:paraId="0A4A36E6">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 xml:space="preserve">2.具有良好的商业信誉和健全的财务会计制度； </w:t>
      </w:r>
    </w:p>
    <w:p w14:paraId="6746966F">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 xml:space="preserve">3.具有履行合同所必需的设备和专业技术能力； </w:t>
      </w:r>
    </w:p>
    <w:p w14:paraId="2E1E04B5">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 xml:space="preserve">4.有依法缴纳税收和社会保障资金的良好记录； </w:t>
      </w:r>
    </w:p>
    <w:p w14:paraId="079937E1">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 xml:space="preserve">5.参加采购活动前三年内，在经营活动中没有重大违法记录； </w:t>
      </w:r>
    </w:p>
    <w:p w14:paraId="0D258165">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6.法律、行政法规规定的其他条件；</w:t>
      </w:r>
    </w:p>
    <w:p w14:paraId="190DC00C">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7.单位负责人为同一人或者存在直接控股、管理关系的不同供应商，不得参加同一合同项下的采购活动；</w:t>
      </w:r>
    </w:p>
    <w:p w14:paraId="32BEED15">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8.未被“信用中国”网站（www.creditchina.gov.cn）列入失信被执行人、重大税收违法案件当事人名单、严重失信行为记录</w:t>
      </w:r>
      <w:r>
        <w:rPr>
          <w:rFonts w:hint="eastAsia" w:ascii="仿宋" w:hAnsi="仿宋" w:eastAsia="仿宋" w:cs="宋体"/>
          <w:color w:val="auto"/>
          <w:sz w:val="32"/>
          <w:szCs w:val="32"/>
        </w:rPr>
        <w:t>名单（联合体任一成员存在不良信用记录的，视为联合体存在不良应用记录）；</w:t>
      </w:r>
    </w:p>
    <w:p w14:paraId="1DC53A45">
      <w:pPr>
        <w:spacing w:line="600" w:lineRule="exact"/>
        <w:ind w:firstLine="640" w:firstLineChars="200"/>
        <w:rPr>
          <w:rFonts w:ascii="仿宋" w:hAnsi="仿宋" w:eastAsia="仿宋" w:cs="宋体"/>
          <w:color w:val="000000"/>
          <w:sz w:val="32"/>
          <w:szCs w:val="32"/>
          <w:highlight w:val="none"/>
        </w:rPr>
      </w:pPr>
      <w:r>
        <w:rPr>
          <w:rFonts w:hint="eastAsia" w:ascii="仿宋" w:hAnsi="仿宋" w:eastAsia="仿宋" w:cs="宋体"/>
          <w:color w:val="000000"/>
          <w:sz w:val="32"/>
          <w:szCs w:val="32"/>
          <w:highlight w:val="none"/>
        </w:rPr>
        <w:t>9.具备结构设计甲级资质</w:t>
      </w:r>
      <w:r>
        <w:rPr>
          <w:rFonts w:hint="eastAsia" w:ascii="仿宋" w:hAnsi="仿宋" w:eastAsia="仿宋" w:cs="宋体"/>
          <w:color w:val="000000"/>
          <w:sz w:val="32"/>
          <w:szCs w:val="32"/>
          <w:highlight w:val="none"/>
          <w:lang w:eastAsia="zh-CN"/>
        </w:rPr>
        <w:t>；</w:t>
      </w:r>
      <w:r>
        <w:rPr>
          <w:rFonts w:hint="eastAsia" w:ascii="仿宋" w:hAnsi="仿宋" w:eastAsia="仿宋" w:cs="宋体"/>
          <w:color w:val="000000"/>
          <w:sz w:val="32"/>
          <w:szCs w:val="32"/>
          <w:highlight w:val="none"/>
        </w:rPr>
        <w:t xml:space="preserve"> </w:t>
      </w:r>
    </w:p>
    <w:p w14:paraId="018C214F">
      <w:pPr>
        <w:spacing w:line="600" w:lineRule="exact"/>
        <w:ind w:firstLine="640" w:firstLineChars="200"/>
        <w:rPr>
          <w:rFonts w:hint="eastAsia" w:ascii="仿宋" w:hAnsi="仿宋" w:eastAsia="仿宋" w:cs="宋体"/>
          <w:color w:val="000000"/>
          <w:sz w:val="32"/>
          <w:szCs w:val="32"/>
          <w:highlight w:val="none"/>
        </w:rPr>
      </w:pPr>
      <w:r>
        <w:rPr>
          <w:rFonts w:hint="eastAsia" w:ascii="仿宋" w:hAnsi="仿宋" w:eastAsia="仿宋" w:cs="宋体"/>
          <w:color w:val="000000"/>
          <w:sz w:val="32"/>
          <w:szCs w:val="32"/>
          <w:highlight w:val="none"/>
        </w:rPr>
        <w:t>10.具有建设行政主管部门核发的《建设工程质量检测机构资质证书》、《建设工程质量检测机构备案证书》；（上述两项资质内容均包括主体结构工程检测类、建筑地基基础质量检测类）；具有省级及以上技术监督部门颁发的CMA计量认证合格证书,计量认证证书的检测能力范围必须包含与本项目匹配的内容</w:t>
      </w:r>
      <w:r>
        <w:rPr>
          <w:rFonts w:hint="eastAsia" w:ascii="仿宋" w:hAnsi="仿宋" w:eastAsia="仿宋" w:cs="宋体"/>
          <w:color w:val="000000"/>
          <w:sz w:val="32"/>
          <w:szCs w:val="32"/>
          <w:highlight w:val="none"/>
          <w:lang w:eastAsia="zh-CN"/>
        </w:rPr>
        <w:t>；</w:t>
      </w:r>
      <w:r>
        <w:rPr>
          <w:rFonts w:hint="eastAsia" w:ascii="仿宋" w:hAnsi="仿宋" w:eastAsia="仿宋" w:cs="宋体"/>
          <w:color w:val="000000"/>
          <w:sz w:val="32"/>
          <w:szCs w:val="32"/>
          <w:highlight w:val="none"/>
        </w:rPr>
        <w:t xml:space="preserve"> </w:t>
      </w:r>
    </w:p>
    <w:p w14:paraId="5F9B957F">
      <w:pPr>
        <w:spacing w:line="600" w:lineRule="exact"/>
        <w:ind w:firstLine="640" w:firstLineChars="200"/>
        <w:rPr>
          <w:rFonts w:hint="default" w:ascii="仿宋" w:hAnsi="仿宋" w:eastAsia="仿宋" w:cs="宋体"/>
          <w:color w:val="000000"/>
          <w:sz w:val="32"/>
          <w:szCs w:val="32"/>
          <w:highlight w:val="none"/>
          <w:lang w:val="en-US" w:eastAsia="zh-CN"/>
        </w:rPr>
      </w:pPr>
      <w:r>
        <w:rPr>
          <w:rFonts w:hint="eastAsia" w:ascii="仿宋" w:hAnsi="仿宋" w:eastAsia="仿宋" w:cs="宋体"/>
          <w:color w:val="000000"/>
          <w:sz w:val="32"/>
          <w:szCs w:val="32"/>
          <w:highlight w:val="none"/>
          <w:lang w:val="en-US" w:eastAsia="zh-CN"/>
        </w:rPr>
        <w:t>11.投标人具有从事消防设施维护保养检测或消防安全评估能力，提供社会消防技术服务信息系统官网截图。</w:t>
      </w:r>
    </w:p>
    <w:p w14:paraId="052CBCB3">
      <w:pPr>
        <w:spacing w:line="600" w:lineRule="exact"/>
        <w:ind w:firstLine="643" w:firstLineChars="200"/>
        <w:rPr>
          <w:rFonts w:ascii="仿宋" w:hAnsi="仿宋" w:eastAsia="仿宋" w:cs="宋体"/>
          <w:b/>
          <w:sz w:val="32"/>
          <w:szCs w:val="32"/>
        </w:rPr>
      </w:pPr>
      <w:r>
        <w:rPr>
          <w:rFonts w:hint="eastAsia" w:ascii="仿宋" w:hAnsi="仿宋" w:eastAsia="仿宋" w:cs="宋体"/>
          <w:b/>
          <w:sz w:val="32"/>
          <w:szCs w:val="32"/>
        </w:rPr>
        <w:t>三、获取采购文件</w:t>
      </w:r>
    </w:p>
    <w:p w14:paraId="0E01097A">
      <w:pPr>
        <w:spacing w:line="600" w:lineRule="exact"/>
        <w:ind w:firstLine="643" w:firstLineChars="200"/>
        <w:rPr>
          <w:rFonts w:hint="eastAsia" w:ascii="仿宋" w:hAnsi="仿宋" w:eastAsia="仿宋" w:cs="宋体"/>
          <w:b/>
          <w:color w:val="auto"/>
          <w:sz w:val="32"/>
          <w:szCs w:val="32"/>
          <w:lang w:eastAsia="zh-CN"/>
        </w:rPr>
      </w:pPr>
      <w:r>
        <w:rPr>
          <w:rFonts w:ascii="仿宋" w:hAnsi="仿宋" w:eastAsia="仿宋" w:cs="宋体"/>
          <w:b/>
          <w:color w:val="auto"/>
          <w:sz w:val="32"/>
          <w:szCs w:val="32"/>
        </w:rPr>
        <w:t>1.时间：</w:t>
      </w:r>
      <w:r>
        <w:rPr>
          <w:rFonts w:hint="eastAsia" w:ascii="仿宋" w:hAnsi="仿宋" w:eastAsia="仿宋" w:cs="宋体"/>
          <w:b/>
          <w:color w:val="auto"/>
          <w:sz w:val="32"/>
          <w:szCs w:val="32"/>
          <w:lang w:val="en-US" w:eastAsia="zh-CN"/>
        </w:rPr>
        <w:t>2025</w:t>
      </w:r>
      <w:r>
        <w:rPr>
          <w:rFonts w:ascii="仿宋" w:hAnsi="仿宋" w:eastAsia="仿宋" w:cs="宋体"/>
          <w:b/>
          <w:bCs/>
          <w:color w:val="auto"/>
          <w:kern w:val="0"/>
          <w:sz w:val="32"/>
          <w:szCs w:val="32"/>
        </w:rPr>
        <w:t>年</w:t>
      </w:r>
      <w:r>
        <w:rPr>
          <w:rFonts w:hint="eastAsia" w:ascii="仿宋" w:hAnsi="仿宋" w:eastAsia="仿宋" w:cs="宋体"/>
          <w:b/>
          <w:bCs/>
          <w:color w:val="auto"/>
          <w:kern w:val="0"/>
          <w:sz w:val="32"/>
          <w:szCs w:val="32"/>
          <w:lang w:val="en-US" w:eastAsia="zh-CN"/>
        </w:rPr>
        <w:t>07</w:t>
      </w:r>
      <w:r>
        <w:rPr>
          <w:rFonts w:ascii="仿宋" w:hAnsi="仿宋" w:eastAsia="仿宋" w:cs="宋体"/>
          <w:b/>
          <w:bCs/>
          <w:color w:val="auto"/>
          <w:kern w:val="0"/>
          <w:sz w:val="32"/>
          <w:szCs w:val="32"/>
        </w:rPr>
        <w:t>月</w:t>
      </w:r>
      <w:r>
        <w:rPr>
          <w:rFonts w:hint="eastAsia" w:ascii="仿宋" w:hAnsi="仿宋" w:eastAsia="仿宋" w:cs="宋体"/>
          <w:b/>
          <w:bCs/>
          <w:color w:val="auto"/>
          <w:kern w:val="0"/>
          <w:sz w:val="32"/>
          <w:szCs w:val="32"/>
          <w:lang w:val="en-US" w:eastAsia="zh-CN"/>
        </w:rPr>
        <w:t>30</w:t>
      </w:r>
      <w:r>
        <w:rPr>
          <w:rFonts w:ascii="仿宋" w:hAnsi="仿宋" w:eastAsia="仿宋" w:cs="宋体"/>
          <w:b/>
          <w:bCs/>
          <w:color w:val="auto"/>
          <w:kern w:val="0"/>
          <w:sz w:val="32"/>
          <w:szCs w:val="32"/>
        </w:rPr>
        <w:t>日</w:t>
      </w:r>
      <w:r>
        <w:rPr>
          <w:rFonts w:hint="eastAsia" w:ascii="仿宋" w:hAnsi="仿宋" w:eastAsia="仿宋" w:cs="宋体"/>
          <w:b/>
          <w:bCs/>
          <w:color w:val="auto"/>
          <w:kern w:val="0"/>
          <w:sz w:val="32"/>
          <w:szCs w:val="32"/>
          <w:lang w:val="en-US" w:eastAsia="zh-CN"/>
        </w:rPr>
        <w:t>起</w:t>
      </w:r>
    </w:p>
    <w:p w14:paraId="360B7EAB">
      <w:pP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 xml:space="preserve">2.地点：常州市城投建设工程招标有限公司网站 </w:t>
      </w:r>
    </w:p>
    <w:p w14:paraId="2FCF0C61">
      <w:pP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3.方式：</w:t>
      </w:r>
      <w:r>
        <w:rPr>
          <w:rFonts w:hint="eastAsia" w:ascii="仿宋" w:hAnsi="仿宋" w:eastAsia="仿宋" w:cs="宋体"/>
          <w:color w:val="0000FF"/>
          <w:sz w:val="32"/>
          <w:szCs w:val="32"/>
        </w:rPr>
        <w:t>直接下载，链接如下：</w:t>
      </w:r>
      <w:r>
        <w:rPr>
          <w:rFonts w:hint="eastAsia" w:ascii="仿宋" w:hAnsi="仿宋" w:eastAsia="仿宋" w:cs="宋体"/>
          <w:bCs/>
          <w:color w:val="0000FF"/>
          <w:sz w:val="32"/>
          <w:szCs w:val="32"/>
        </w:rPr>
        <w:t xml:space="preserve"> </w:t>
      </w:r>
    </w:p>
    <w:p w14:paraId="73D4124B">
      <w:pPr>
        <w:spacing w:line="600" w:lineRule="exact"/>
        <w:ind w:firstLine="643" w:firstLineChars="200"/>
        <w:rPr>
          <w:rFonts w:ascii="仿宋" w:hAnsi="仿宋" w:eastAsia="仿宋" w:cs="宋体"/>
          <w:b/>
          <w:sz w:val="32"/>
          <w:szCs w:val="32"/>
        </w:rPr>
      </w:pPr>
      <w:r>
        <w:rPr>
          <w:rFonts w:hint="eastAsia" w:ascii="仿宋" w:hAnsi="仿宋" w:eastAsia="仿宋" w:cs="宋体"/>
          <w:b/>
          <w:sz w:val="32"/>
          <w:szCs w:val="32"/>
        </w:rPr>
        <w:t>四、响应文件提交</w:t>
      </w:r>
    </w:p>
    <w:p w14:paraId="57B849D6">
      <w:pPr>
        <w:spacing w:line="600" w:lineRule="exact"/>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截止时间：</w:t>
      </w:r>
      <w:r>
        <w:rPr>
          <w:rFonts w:hint="eastAsia" w:ascii="仿宋" w:hAnsi="仿宋" w:eastAsia="仿宋" w:cs="宋体"/>
          <w:color w:val="auto"/>
          <w:sz w:val="32"/>
          <w:szCs w:val="32"/>
          <w:lang w:val="en-US" w:eastAsia="zh-CN"/>
        </w:rPr>
        <w:t>2025年08月12日14</w:t>
      </w:r>
      <w:r>
        <w:rPr>
          <w:rFonts w:hint="eastAsia" w:ascii="仿宋" w:hAnsi="仿宋" w:eastAsia="仿宋" w:cs="宋体"/>
          <w:color w:val="auto"/>
          <w:sz w:val="32"/>
          <w:szCs w:val="32"/>
        </w:rPr>
        <w:t>点</w:t>
      </w:r>
      <w:r>
        <w:rPr>
          <w:rFonts w:hint="eastAsia" w:ascii="仿宋" w:hAnsi="仿宋" w:eastAsia="仿宋" w:cs="宋体"/>
          <w:color w:val="auto"/>
          <w:sz w:val="32"/>
          <w:szCs w:val="32"/>
          <w:lang w:val="en-US" w:eastAsia="zh-CN"/>
        </w:rPr>
        <w:t>30</w:t>
      </w:r>
      <w:r>
        <w:rPr>
          <w:rFonts w:hint="eastAsia" w:ascii="仿宋" w:hAnsi="仿宋" w:eastAsia="仿宋" w:cs="宋体"/>
          <w:color w:val="auto"/>
          <w:sz w:val="32"/>
          <w:szCs w:val="32"/>
        </w:rPr>
        <w:t>分（北京时间）</w:t>
      </w:r>
    </w:p>
    <w:p w14:paraId="403EE26D">
      <w:pPr>
        <w:spacing w:line="600" w:lineRule="exact"/>
        <w:ind w:firstLine="640" w:firstLineChars="200"/>
        <w:rPr>
          <w:rFonts w:ascii="仿宋" w:hAnsi="仿宋" w:eastAsia="仿宋" w:cs="宋体"/>
          <w:bCs/>
          <w:color w:val="auto"/>
          <w:sz w:val="32"/>
          <w:szCs w:val="32"/>
        </w:rPr>
      </w:pPr>
      <w:r>
        <w:rPr>
          <w:rFonts w:hint="eastAsia" w:ascii="仿宋" w:hAnsi="仿宋" w:eastAsia="仿宋" w:cs="宋体"/>
          <w:color w:val="auto"/>
          <w:sz w:val="32"/>
          <w:szCs w:val="32"/>
        </w:rPr>
        <w:t>地点：常州市城投建设工程招标有限公司（常州市新北区通江中路396号中创大厦4楼）</w:t>
      </w:r>
    </w:p>
    <w:p w14:paraId="24713775">
      <w:pPr>
        <w:spacing w:line="600" w:lineRule="exact"/>
        <w:ind w:firstLine="643" w:firstLineChars="200"/>
        <w:rPr>
          <w:rFonts w:ascii="仿宋" w:hAnsi="仿宋" w:eastAsia="仿宋" w:cs="宋体"/>
          <w:b/>
          <w:color w:val="auto"/>
          <w:sz w:val="32"/>
          <w:szCs w:val="32"/>
        </w:rPr>
      </w:pPr>
      <w:r>
        <w:rPr>
          <w:rFonts w:hint="eastAsia" w:ascii="仿宋" w:hAnsi="仿宋" w:eastAsia="仿宋" w:cs="宋体"/>
          <w:b/>
          <w:color w:val="auto"/>
          <w:sz w:val="32"/>
          <w:szCs w:val="32"/>
        </w:rPr>
        <w:t>五、开启</w:t>
      </w:r>
    </w:p>
    <w:p w14:paraId="00E925E3">
      <w:pPr>
        <w:spacing w:line="600" w:lineRule="exact"/>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时间：</w:t>
      </w:r>
      <w:r>
        <w:rPr>
          <w:rFonts w:hint="eastAsia" w:ascii="仿宋" w:hAnsi="仿宋" w:eastAsia="仿宋" w:cs="宋体"/>
          <w:color w:val="auto"/>
          <w:sz w:val="32"/>
          <w:szCs w:val="32"/>
          <w:lang w:val="en-US" w:eastAsia="zh-CN"/>
        </w:rPr>
        <w:t>2025年08月12日14</w:t>
      </w:r>
      <w:r>
        <w:rPr>
          <w:rFonts w:hint="eastAsia" w:ascii="仿宋" w:hAnsi="仿宋" w:eastAsia="仿宋" w:cs="宋体"/>
          <w:color w:val="auto"/>
          <w:sz w:val="32"/>
          <w:szCs w:val="32"/>
        </w:rPr>
        <w:t>点</w:t>
      </w:r>
      <w:r>
        <w:rPr>
          <w:rFonts w:hint="eastAsia" w:ascii="仿宋" w:hAnsi="仿宋" w:eastAsia="仿宋" w:cs="宋体"/>
          <w:color w:val="auto"/>
          <w:sz w:val="32"/>
          <w:szCs w:val="32"/>
          <w:lang w:val="en-US" w:eastAsia="zh-CN"/>
        </w:rPr>
        <w:t>30</w:t>
      </w:r>
      <w:r>
        <w:rPr>
          <w:rFonts w:hint="eastAsia" w:ascii="仿宋" w:hAnsi="仿宋" w:eastAsia="仿宋" w:cs="宋体"/>
          <w:color w:val="auto"/>
          <w:sz w:val="32"/>
          <w:szCs w:val="32"/>
        </w:rPr>
        <w:t>分（北京时间）</w:t>
      </w:r>
    </w:p>
    <w:p w14:paraId="5749C9B4">
      <w:pPr>
        <w:spacing w:line="600" w:lineRule="exact"/>
        <w:ind w:firstLine="640" w:firstLineChars="200"/>
        <w:rPr>
          <w:rFonts w:ascii="仿宋" w:hAnsi="仿宋" w:eastAsia="仿宋" w:cs="宋体"/>
          <w:bCs/>
          <w:color w:val="FF0000"/>
          <w:sz w:val="32"/>
          <w:szCs w:val="32"/>
        </w:rPr>
      </w:pPr>
      <w:r>
        <w:rPr>
          <w:rFonts w:hint="eastAsia" w:ascii="仿宋" w:hAnsi="仿宋" w:eastAsia="仿宋" w:cs="宋体"/>
          <w:sz w:val="32"/>
          <w:szCs w:val="32"/>
        </w:rPr>
        <w:t>地点：常州市城投建设工程招标有限公司（常州市新北区通江中路396号中创大厦4楼）</w:t>
      </w:r>
    </w:p>
    <w:p w14:paraId="38FCB851">
      <w:pPr>
        <w:spacing w:line="600" w:lineRule="exact"/>
        <w:ind w:firstLine="643" w:firstLineChars="200"/>
        <w:rPr>
          <w:rFonts w:ascii="仿宋" w:hAnsi="仿宋" w:eastAsia="仿宋" w:cs="宋体"/>
          <w:b/>
          <w:sz w:val="32"/>
          <w:szCs w:val="32"/>
        </w:rPr>
      </w:pPr>
      <w:r>
        <w:rPr>
          <w:rFonts w:hint="eastAsia" w:ascii="仿宋" w:hAnsi="仿宋" w:eastAsia="仿宋" w:cs="宋体"/>
          <w:b/>
          <w:sz w:val="32"/>
          <w:szCs w:val="32"/>
        </w:rPr>
        <w:t>六、公告期限</w:t>
      </w:r>
    </w:p>
    <w:p w14:paraId="397F74CB">
      <w:pP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自本公告发布之日起3</w:t>
      </w:r>
      <w:r>
        <w:rPr>
          <w:rFonts w:ascii="仿宋" w:hAnsi="仿宋" w:eastAsia="仿宋" w:cs="宋体"/>
          <w:sz w:val="32"/>
          <w:szCs w:val="32"/>
        </w:rPr>
        <w:t>个工作日</w:t>
      </w:r>
      <w:r>
        <w:rPr>
          <w:rFonts w:hint="eastAsia" w:ascii="仿宋" w:hAnsi="仿宋" w:eastAsia="仿宋" w:cs="宋体"/>
          <w:sz w:val="32"/>
          <w:szCs w:val="32"/>
        </w:rPr>
        <w:t>。</w:t>
      </w:r>
    </w:p>
    <w:p w14:paraId="59D44A9D">
      <w:pPr>
        <w:spacing w:line="600" w:lineRule="exact"/>
        <w:ind w:firstLine="643" w:firstLineChars="200"/>
        <w:rPr>
          <w:rFonts w:ascii="仿宋" w:hAnsi="仿宋" w:eastAsia="仿宋" w:cs="宋体"/>
          <w:b/>
          <w:sz w:val="32"/>
          <w:szCs w:val="32"/>
        </w:rPr>
      </w:pPr>
      <w:r>
        <w:rPr>
          <w:rFonts w:hint="eastAsia" w:ascii="仿宋" w:hAnsi="仿宋" w:eastAsia="仿宋" w:cs="宋体"/>
          <w:b/>
          <w:sz w:val="32"/>
          <w:szCs w:val="32"/>
        </w:rPr>
        <w:t>七、其他补充事宜</w:t>
      </w:r>
    </w:p>
    <w:p w14:paraId="39FE7432">
      <w:pPr>
        <w:spacing w:line="600" w:lineRule="exact"/>
        <w:ind w:firstLine="640" w:firstLineChars="200"/>
        <w:rPr>
          <w:rFonts w:ascii="仿宋" w:hAnsi="仿宋" w:eastAsia="仿宋" w:cs="宋体"/>
          <w:bCs/>
          <w:color w:val="FF0000"/>
          <w:sz w:val="32"/>
          <w:szCs w:val="32"/>
        </w:rPr>
      </w:pPr>
      <w:r>
        <w:rPr>
          <w:rFonts w:hint="eastAsia" w:ascii="仿宋" w:hAnsi="仿宋" w:eastAsia="仿宋" w:cs="宋体"/>
          <w:bCs/>
          <w:color w:val="auto"/>
          <w:sz w:val="32"/>
          <w:szCs w:val="32"/>
          <w:lang w:val="en-US" w:eastAsia="zh-CN"/>
        </w:rPr>
        <w:t>1.</w:t>
      </w:r>
      <w:r>
        <w:rPr>
          <w:rFonts w:hint="eastAsia" w:ascii="仿宋" w:hAnsi="仿宋" w:eastAsia="仿宋"/>
          <w:bCs/>
          <w:color w:val="auto"/>
          <w:sz w:val="32"/>
          <w:szCs w:val="32"/>
        </w:rPr>
        <w:t>本项</w:t>
      </w:r>
      <w:r>
        <w:rPr>
          <w:rFonts w:hint="eastAsia" w:ascii="仿宋" w:hAnsi="仿宋" w:eastAsia="仿宋"/>
          <w:bCs/>
          <w:sz w:val="32"/>
          <w:szCs w:val="32"/>
        </w:rPr>
        <w:t>目不组织现场踏勘，供应商自行踏勘现场</w:t>
      </w:r>
      <w:r>
        <w:rPr>
          <w:rFonts w:hint="eastAsia" w:ascii="仿宋" w:hAnsi="仿宋" w:eastAsia="仿宋" w:cs="宋体"/>
          <w:bCs/>
          <w:color w:val="FF0000"/>
          <w:sz w:val="32"/>
          <w:szCs w:val="32"/>
        </w:rPr>
        <w:t>。</w:t>
      </w:r>
    </w:p>
    <w:p w14:paraId="3F80A86A">
      <w:pPr>
        <w:spacing w:line="600" w:lineRule="exact"/>
        <w:ind w:firstLine="640" w:firstLineChars="200"/>
        <w:rPr>
          <w:rFonts w:ascii="仿宋" w:hAnsi="仿宋" w:eastAsia="仿宋" w:cs="宋体"/>
          <w:color w:val="auto"/>
          <w:sz w:val="32"/>
          <w:szCs w:val="32"/>
        </w:rPr>
      </w:pPr>
      <w:r>
        <w:rPr>
          <w:rFonts w:hint="eastAsia" w:ascii="仿宋" w:hAnsi="仿宋" w:eastAsia="仿宋" w:cs="宋体"/>
          <w:bCs/>
          <w:sz w:val="32"/>
          <w:szCs w:val="32"/>
          <w:lang w:val="en-US" w:eastAsia="zh-CN"/>
        </w:rPr>
        <w:t>2.</w:t>
      </w:r>
      <w:r>
        <w:rPr>
          <w:rFonts w:hint="eastAsia" w:ascii="仿宋" w:hAnsi="仿宋" w:eastAsia="仿宋" w:cs="宋体"/>
          <w:color w:val="auto"/>
          <w:sz w:val="32"/>
          <w:szCs w:val="32"/>
        </w:rPr>
        <w:t>标前答疑</w:t>
      </w:r>
    </w:p>
    <w:p w14:paraId="4DAA16B3">
      <w:pPr>
        <w:spacing w:line="600" w:lineRule="exact"/>
        <w:ind w:firstLine="640" w:firstLineChars="200"/>
        <w:rPr>
          <w:rFonts w:ascii="仿宋" w:hAnsi="仿宋" w:eastAsia="仿宋" w:cs="宋体"/>
          <w:sz w:val="32"/>
          <w:szCs w:val="32"/>
        </w:rPr>
      </w:pPr>
      <w:r>
        <w:rPr>
          <w:rFonts w:hint="eastAsia" w:ascii="仿宋" w:hAnsi="仿宋" w:eastAsia="仿宋" w:cs="宋体"/>
          <w:color w:val="auto"/>
          <w:sz w:val="32"/>
          <w:szCs w:val="32"/>
        </w:rPr>
        <w:t>供应商对竞争性磋商文件如有疑问，请将疑问于</w:t>
      </w:r>
      <w:r>
        <w:rPr>
          <w:rFonts w:hint="eastAsia" w:ascii="仿宋" w:hAnsi="仿宋" w:eastAsia="仿宋" w:cs="宋体"/>
          <w:color w:val="auto"/>
          <w:sz w:val="32"/>
          <w:szCs w:val="32"/>
          <w:lang w:val="en-US" w:eastAsia="zh-CN"/>
        </w:rPr>
        <w:t>2025</w:t>
      </w:r>
      <w:r>
        <w:rPr>
          <w:rFonts w:hint="eastAsia" w:ascii="仿宋" w:hAnsi="仿宋" w:eastAsia="仿宋" w:cs="宋体"/>
          <w:b/>
          <w:bCs/>
          <w:color w:val="auto"/>
          <w:kern w:val="0"/>
          <w:sz w:val="32"/>
          <w:szCs w:val="32"/>
        </w:rPr>
        <w:t>年</w:t>
      </w:r>
      <w:r>
        <w:rPr>
          <w:rFonts w:hint="eastAsia" w:ascii="仿宋" w:hAnsi="仿宋" w:eastAsia="仿宋" w:cs="宋体"/>
          <w:b/>
          <w:bCs/>
          <w:color w:val="auto"/>
          <w:kern w:val="0"/>
          <w:sz w:val="32"/>
          <w:szCs w:val="32"/>
          <w:lang w:val="en-US" w:eastAsia="zh-CN"/>
        </w:rPr>
        <w:t>08</w:t>
      </w:r>
      <w:r>
        <w:rPr>
          <w:rFonts w:hint="eastAsia" w:ascii="仿宋" w:hAnsi="仿宋" w:eastAsia="仿宋" w:cs="宋体"/>
          <w:b/>
          <w:bCs/>
          <w:color w:val="auto"/>
          <w:kern w:val="0"/>
          <w:sz w:val="32"/>
          <w:szCs w:val="32"/>
        </w:rPr>
        <w:t>月</w:t>
      </w:r>
      <w:r>
        <w:rPr>
          <w:rFonts w:hint="eastAsia" w:ascii="仿宋" w:hAnsi="仿宋" w:eastAsia="仿宋" w:cs="宋体"/>
          <w:b/>
          <w:bCs/>
          <w:color w:val="auto"/>
          <w:kern w:val="0"/>
          <w:sz w:val="32"/>
          <w:szCs w:val="32"/>
          <w:lang w:val="en-US" w:eastAsia="zh-CN"/>
        </w:rPr>
        <w:t>07</w:t>
      </w:r>
      <w:r>
        <w:rPr>
          <w:rFonts w:hint="eastAsia" w:ascii="仿宋" w:hAnsi="仿宋" w:eastAsia="仿宋" w:cs="宋体"/>
          <w:b/>
          <w:bCs/>
          <w:color w:val="auto"/>
          <w:kern w:val="0"/>
          <w:sz w:val="32"/>
          <w:szCs w:val="32"/>
        </w:rPr>
        <w:t>日</w:t>
      </w:r>
      <w:r>
        <w:rPr>
          <w:rFonts w:ascii="仿宋" w:hAnsi="仿宋" w:eastAsia="仿宋" w:cs="宋体"/>
          <w:b/>
          <w:bCs/>
          <w:color w:val="auto"/>
          <w:kern w:val="0"/>
          <w:sz w:val="32"/>
          <w:szCs w:val="32"/>
        </w:rPr>
        <w:t>11</w:t>
      </w:r>
      <w:r>
        <w:rPr>
          <w:rFonts w:hint="eastAsia" w:ascii="仿宋" w:hAnsi="仿宋" w:eastAsia="仿宋" w:cs="宋体"/>
          <w:b/>
          <w:color w:val="auto"/>
          <w:sz w:val="32"/>
          <w:szCs w:val="32"/>
        </w:rPr>
        <w:t>点</w:t>
      </w:r>
      <w:r>
        <w:rPr>
          <w:rFonts w:ascii="仿宋" w:hAnsi="仿宋" w:eastAsia="仿宋" w:cs="宋体"/>
          <w:b/>
          <w:color w:val="auto"/>
          <w:sz w:val="32"/>
          <w:szCs w:val="32"/>
        </w:rPr>
        <w:t>00分</w:t>
      </w:r>
      <w:r>
        <w:rPr>
          <w:rFonts w:hint="eastAsia" w:ascii="仿宋" w:hAnsi="仿宋" w:eastAsia="仿宋" w:cs="宋体"/>
          <w:b/>
          <w:sz w:val="32"/>
          <w:szCs w:val="32"/>
        </w:rPr>
        <w:t>（北京时间）</w:t>
      </w:r>
      <w:r>
        <w:rPr>
          <w:rFonts w:hint="eastAsia" w:ascii="仿宋" w:hAnsi="仿宋" w:eastAsia="仿宋" w:cs="宋体"/>
          <w:sz w:val="32"/>
          <w:szCs w:val="32"/>
        </w:rPr>
        <w:t>前以书面形式提交或传真至常州市城投建设工程招标有限公司。传真：0519-81580105；邮箱：czctzb@163.com</w:t>
      </w:r>
    </w:p>
    <w:p w14:paraId="50CBAA60">
      <w:pPr>
        <w:spacing w:line="600" w:lineRule="exact"/>
        <w:ind w:firstLine="643" w:firstLineChars="200"/>
        <w:rPr>
          <w:rFonts w:ascii="仿宋" w:hAnsi="仿宋" w:eastAsia="仿宋" w:cs="宋体"/>
          <w:b/>
          <w:sz w:val="32"/>
          <w:szCs w:val="32"/>
        </w:rPr>
      </w:pPr>
      <w:r>
        <w:rPr>
          <w:rFonts w:hint="eastAsia" w:ascii="仿宋" w:hAnsi="仿宋" w:eastAsia="仿宋" w:cs="宋体"/>
          <w:b/>
          <w:sz w:val="32"/>
          <w:szCs w:val="32"/>
        </w:rPr>
        <w:t>八、凡对本次采购提出询问，请按以下方式联系。</w:t>
      </w:r>
    </w:p>
    <w:p w14:paraId="34EA4721">
      <w:pPr>
        <w:spacing w:line="600" w:lineRule="exact"/>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1.采购人信息</w:t>
      </w:r>
    </w:p>
    <w:p w14:paraId="454232B9">
      <w:pPr>
        <w:snapToGrid w:val="0"/>
        <w:spacing w:line="600" w:lineRule="exact"/>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名    称：</w:t>
      </w:r>
      <w:r>
        <w:rPr>
          <w:rFonts w:hint="eastAsia" w:ascii="仿宋" w:hAnsi="仿宋" w:eastAsia="仿宋"/>
          <w:color w:val="auto"/>
          <w:sz w:val="32"/>
          <w:szCs w:val="32"/>
        </w:rPr>
        <w:t>常州市公安局</w:t>
      </w:r>
    </w:p>
    <w:p w14:paraId="1C154EA6">
      <w:pPr>
        <w:snapToGrid w:val="0"/>
        <w:spacing w:line="600" w:lineRule="exact"/>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地    址：</w:t>
      </w:r>
      <w:r>
        <w:rPr>
          <w:rFonts w:hint="eastAsia" w:ascii="仿宋" w:hAnsi="仿宋" w:eastAsia="仿宋"/>
          <w:color w:val="auto"/>
          <w:sz w:val="32"/>
          <w:szCs w:val="32"/>
        </w:rPr>
        <w:t>常州市新北区龙锦路1588号</w:t>
      </w:r>
    </w:p>
    <w:p w14:paraId="19232AE3">
      <w:pPr>
        <w:spacing w:line="600" w:lineRule="exact"/>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联系方式：</w:t>
      </w:r>
      <w:r>
        <w:rPr>
          <w:rFonts w:hint="eastAsia" w:ascii="仿宋" w:hAnsi="仿宋" w:eastAsia="仿宋"/>
          <w:color w:val="auto"/>
          <w:sz w:val="32"/>
          <w:szCs w:val="32"/>
        </w:rPr>
        <w:t>邵俊  0519-81993183</w:t>
      </w:r>
    </w:p>
    <w:p w14:paraId="40211828">
      <w:pP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2.采购代理机构信息</w:t>
      </w:r>
    </w:p>
    <w:p w14:paraId="50BC054B">
      <w:pP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名    称：常州市城投建设工程招标有限公司</w:t>
      </w:r>
    </w:p>
    <w:p w14:paraId="425DE820">
      <w:pPr>
        <w:spacing w:line="600" w:lineRule="exact"/>
        <w:ind w:firstLine="640" w:firstLineChars="200"/>
        <w:rPr>
          <w:rFonts w:ascii="仿宋" w:hAnsi="仿宋" w:eastAsia="仿宋" w:cs="宋体"/>
          <w:kern w:val="0"/>
          <w:sz w:val="32"/>
          <w:szCs w:val="32"/>
        </w:rPr>
      </w:pPr>
      <w:r>
        <w:rPr>
          <w:rFonts w:hint="eastAsia" w:ascii="仿宋" w:hAnsi="仿宋" w:eastAsia="仿宋" w:cs="宋体"/>
          <w:sz w:val="32"/>
          <w:szCs w:val="32"/>
        </w:rPr>
        <w:t>地　　址：</w:t>
      </w:r>
      <w:r>
        <w:rPr>
          <w:rFonts w:hint="eastAsia" w:ascii="仿宋" w:hAnsi="仿宋" w:eastAsia="仿宋" w:cs="宋体"/>
          <w:kern w:val="0"/>
          <w:sz w:val="32"/>
          <w:szCs w:val="32"/>
        </w:rPr>
        <w:t>常州市新北区通江中路396号中创大厦4楼</w:t>
      </w:r>
    </w:p>
    <w:p w14:paraId="4029CB8F">
      <w:pP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联系方式：0519-81580101</w:t>
      </w:r>
    </w:p>
    <w:p w14:paraId="50DE95AC">
      <w:pP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3.项目联系方式</w:t>
      </w:r>
    </w:p>
    <w:p w14:paraId="53144AE5">
      <w:pPr>
        <w:spacing w:line="600" w:lineRule="exact"/>
        <w:ind w:firstLine="640" w:firstLineChars="200"/>
        <w:rPr>
          <w:rFonts w:hint="eastAsia" w:ascii="仿宋" w:hAnsi="仿宋" w:eastAsia="仿宋" w:cs="宋体"/>
          <w:color w:val="auto"/>
          <w:sz w:val="32"/>
          <w:szCs w:val="32"/>
          <w:lang w:val="en-US" w:eastAsia="zh-CN"/>
        </w:rPr>
      </w:pPr>
      <w:r>
        <w:rPr>
          <w:rFonts w:hint="eastAsia" w:ascii="仿宋" w:hAnsi="仿宋" w:eastAsia="仿宋" w:cs="宋体"/>
          <w:color w:val="auto"/>
          <w:sz w:val="32"/>
          <w:szCs w:val="32"/>
        </w:rPr>
        <w:t>项目联系人：</w:t>
      </w:r>
      <w:r>
        <w:rPr>
          <w:rFonts w:hint="eastAsia" w:ascii="仿宋" w:hAnsi="仿宋" w:eastAsia="仿宋" w:cs="宋体"/>
          <w:color w:val="auto"/>
          <w:sz w:val="32"/>
          <w:szCs w:val="32"/>
          <w:lang w:val="en-US" w:eastAsia="zh-CN"/>
        </w:rPr>
        <w:t>丁洁</w:t>
      </w:r>
    </w:p>
    <w:p w14:paraId="36F920F6">
      <w:pPr>
        <w:spacing w:line="600" w:lineRule="exact"/>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电　　  话：0519-81580152  81580191  81580192（转分机号</w:t>
      </w:r>
      <w:r>
        <w:rPr>
          <w:rFonts w:hint="eastAsia" w:ascii="仿宋" w:hAnsi="仿宋" w:eastAsia="仿宋" w:cs="宋体"/>
          <w:color w:val="auto"/>
          <w:sz w:val="32"/>
          <w:szCs w:val="32"/>
          <w:lang w:val="en-US" w:eastAsia="zh-CN"/>
        </w:rPr>
        <w:t>6031</w:t>
      </w:r>
      <w:r>
        <w:rPr>
          <w:rFonts w:hint="eastAsia" w:ascii="仿宋" w:hAnsi="仿宋" w:eastAsia="仿宋" w:cs="宋体"/>
          <w:color w:val="auto"/>
          <w:sz w:val="32"/>
          <w:szCs w:val="32"/>
        </w:rPr>
        <w:t>）　</w:t>
      </w:r>
    </w:p>
    <w:p w14:paraId="19F17C09">
      <w:pPr>
        <w:jc w:val="center"/>
        <w:rPr>
          <w:rFonts w:ascii="宋体" w:hAnsi="宋体" w:cs="宋体"/>
          <w:b/>
          <w:sz w:val="44"/>
          <w:szCs w:val="44"/>
        </w:rPr>
      </w:pPr>
      <w:r>
        <w:rPr>
          <w:rFonts w:hint="eastAsia" w:ascii="宋体" w:hAnsi="宋体" w:cs="宋体"/>
          <w:b/>
          <w:sz w:val="44"/>
          <w:szCs w:val="44"/>
        </w:rPr>
        <w:br w:type="page"/>
      </w:r>
    </w:p>
    <w:p w14:paraId="7CC9DEBC">
      <w:pPr>
        <w:pStyle w:val="2"/>
        <w:rPr>
          <w:rFonts w:ascii="宋体" w:hAnsi="宋体" w:cs="宋体"/>
        </w:rPr>
      </w:pPr>
      <w:bookmarkStart w:id="1" w:name="_Toc17537927"/>
      <w:r>
        <w:rPr>
          <w:rFonts w:hint="eastAsia" w:ascii="宋体" w:hAnsi="宋体" w:cs="宋体"/>
        </w:rPr>
        <w:t>第一章    总     则</w:t>
      </w:r>
      <w:bookmarkEnd w:id="1"/>
    </w:p>
    <w:p w14:paraId="18EF53CD">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1.采购方式</w:t>
      </w:r>
    </w:p>
    <w:p w14:paraId="2CBAD47B">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本项目采用竞争性磋商方式，本磋商文件仅适用于磋商公告中所述项目。</w:t>
      </w:r>
    </w:p>
    <w:p w14:paraId="2469C234">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2.合格的供应商</w:t>
      </w:r>
    </w:p>
    <w:p w14:paraId="25557717">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2.1 满足公告中供应商的资格要求的规定。</w:t>
      </w:r>
    </w:p>
    <w:p w14:paraId="5572A6F0">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2.2 满足本文件实质性条款的规定。</w:t>
      </w:r>
    </w:p>
    <w:p w14:paraId="2F294813">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3.磋商费用</w:t>
      </w:r>
    </w:p>
    <w:p w14:paraId="08A232B2">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参加磋商供应商应自行承担所有与参加磋商有关的费用。无论最终成交结果如何，采购代理机构在任何情况下均无义务和责任承担这些费用。</w:t>
      </w:r>
    </w:p>
    <w:p w14:paraId="2A9ABF1B">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4.磋商文件的组成</w:t>
      </w:r>
    </w:p>
    <w:p w14:paraId="54F0DF2B">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本文件及依法对本文件所作的更正内容均为磋商文件的组成部分。</w:t>
      </w:r>
    </w:p>
    <w:p w14:paraId="52A10548">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供应商应仔细检查磋商文件是否齐全，如有缺漏，立即与代理机构联系解决。</w:t>
      </w:r>
    </w:p>
    <w:p w14:paraId="355F2B25">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供应商应认真阅读磋商文件中所有的事项、格式、条款和规范等要求。按磋商文件要求和规定编制磋商响应文件，并保证所提供的全部资料的真实性，以使其磋商响应文件对磋商文件作出实质性响应，否则其风险由供应商自行承担。</w:t>
      </w:r>
    </w:p>
    <w:p w14:paraId="00A9CDC6">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供应商一旦参加本项目采购活动，即被认为接受了本磋商文件的规定和约束。</w:t>
      </w:r>
    </w:p>
    <w:p w14:paraId="651BDCB5">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5.磋商文件的补充、澄清、更正</w:t>
      </w:r>
    </w:p>
    <w:p w14:paraId="3128E771">
      <w:pPr>
        <w:spacing w:line="360" w:lineRule="exact"/>
        <w:ind w:firstLine="420" w:firstLineChars="200"/>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5.1 代理机构向供应商提供的有关资料和数据，是代理机构现有的能使供应商利用的资料。代理机构对供应商由此而作出的推论、理解和结论概不负责。供应商由于对竞争性磋商文件的任何推论和误解以及采购人对有关问题的口头解释所造成的后果，均由供应商自负。</w:t>
      </w:r>
    </w:p>
    <w:p w14:paraId="21A59DA7">
      <w:pPr>
        <w:spacing w:line="360" w:lineRule="exact"/>
        <w:ind w:firstLine="420" w:firstLineChars="200"/>
        <w:rPr>
          <w:rFonts w:cs="宋体" w:asciiTheme="minorEastAsia" w:hAnsiTheme="minorEastAsia" w:eastAsiaTheme="minorEastAsia"/>
          <w:b/>
          <w:bCs/>
          <w:color w:val="000000"/>
          <w:szCs w:val="21"/>
        </w:rPr>
      </w:pPr>
      <w:r>
        <w:rPr>
          <w:rFonts w:hint="eastAsia" w:cs="宋体" w:asciiTheme="minorEastAsia" w:hAnsiTheme="minorEastAsia" w:eastAsiaTheme="minorEastAsia"/>
          <w:bCs/>
          <w:color w:val="000000"/>
          <w:szCs w:val="21"/>
        </w:rPr>
        <w:t>5.2 供应商提出的与磋商有关的任何问题须在收到竞争性磋商文件后，按规定时间以书面形式提交至采购代理机构，未以书面形式提出或逾期提出的异议将不被接受。</w:t>
      </w:r>
      <w:r>
        <w:rPr>
          <w:rFonts w:hint="eastAsia" w:cs="宋体" w:asciiTheme="minorEastAsia" w:hAnsiTheme="minorEastAsia" w:eastAsiaTheme="minorEastAsia"/>
          <w:szCs w:val="21"/>
        </w:rPr>
        <w:t>如无疑问，视作供应商完全响应竞争性磋商文件的条款和要求。</w:t>
      </w:r>
    </w:p>
    <w:p w14:paraId="4CEC05A4">
      <w:pPr>
        <w:spacing w:line="360" w:lineRule="exact"/>
        <w:ind w:firstLine="420" w:firstLineChars="200"/>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5.3 采购人及代理机构有权对已发出的竞争性磋商文件进行必要的澄清或更正。</w:t>
      </w:r>
    </w:p>
    <w:p w14:paraId="2774E8E6">
      <w:pPr>
        <w:spacing w:line="360" w:lineRule="exact"/>
        <w:ind w:firstLine="420" w:firstLineChars="200"/>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5.4 采购人可视具体情况，延长磋商响应文件提交截止时间和磋商时间。</w:t>
      </w:r>
    </w:p>
    <w:p w14:paraId="47D7CBE3">
      <w:pPr>
        <w:spacing w:line="360" w:lineRule="exact"/>
        <w:ind w:firstLine="422"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5.5 所有有关</w:t>
      </w:r>
      <w:r>
        <w:rPr>
          <w:rFonts w:hint="eastAsia" w:cs="宋体" w:asciiTheme="minorEastAsia" w:hAnsiTheme="minorEastAsia" w:eastAsiaTheme="minorEastAsia"/>
          <w:b/>
          <w:szCs w:val="21"/>
        </w:rPr>
        <w:t>竞争性磋商文件的补充、澄清、更正将在</w:t>
      </w:r>
      <w:r>
        <w:rPr>
          <w:rFonts w:hint="eastAsia" w:asciiTheme="minorEastAsia" w:hAnsiTheme="minorEastAsia" w:eastAsiaTheme="minorEastAsia"/>
          <w:b/>
          <w:szCs w:val="21"/>
        </w:rPr>
        <w:t>原公告</w:t>
      </w:r>
      <w:r>
        <w:rPr>
          <w:rFonts w:asciiTheme="minorEastAsia" w:hAnsiTheme="minorEastAsia" w:eastAsiaTheme="minorEastAsia"/>
          <w:b/>
          <w:szCs w:val="21"/>
        </w:rPr>
        <w:t>媒体上</w:t>
      </w:r>
      <w:r>
        <w:rPr>
          <w:rFonts w:hint="eastAsia" w:asciiTheme="minorEastAsia" w:hAnsiTheme="minorEastAsia" w:eastAsiaTheme="minorEastAsia"/>
          <w:b/>
          <w:szCs w:val="21"/>
        </w:rPr>
        <w:t>予以公告</w:t>
      </w:r>
      <w:r>
        <w:rPr>
          <w:rFonts w:hint="eastAsia" w:cs="宋体" w:asciiTheme="minorEastAsia" w:hAnsiTheme="minorEastAsia" w:eastAsiaTheme="minorEastAsia"/>
          <w:b/>
          <w:szCs w:val="21"/>
        </w:rPr>
        <w:t>。上述内容将作为竞争性磋商文件的组成部分，并对供应商具有约束力，由供应商自行关注并获取。</w:t>
      </w:r>
    </w:p>
    <w:p w14:paraId="0807ADF6">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6.供应商的义务</w:t>
      </w:r>
    </w:p>
    <w:p w14:paraId="5BD166E8">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6.1 供应商应当认真阅读竞争性磋商文件，完全明了采购项目的内容。</w:t>
      </w:r>
    </w:p>
    <w:p w14:paraId="7061DB16">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6.2 供应商应当按照竞争性磋商文件的要求编制磋商响应文件。磋商响应文件应对竞争性磋商文件提出的实质性要求和条件作出完全响应。</w:t>
      </w:r>
    </w:p>
    <w:p w14:paraId="678C413B">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6.3 供应商应在磋商响应文件提交截止时间前，将密封的磋商响应文件送达磋商地点。</w:t>
      </w:r>
    </w:p>
    <w:p w14:paraId="2C9AE292">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6.4 供应商不得相互串通磋商报价，不得排挤其他供应商的公平竞争，损害采购人或者其他供应商合法权益。供应商不得与采购人串通，损害国家利益，公众利益或者他人的合法权益。</w:t>
      </w:r>
    </w:p>
    <w:p w14:paraId="66217D02">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7.磋商报价</w:t>
      </w:r>
    </w:p>
    <w:p w14:paraId="6548273D">
      <w:pPr>
        <w:tabs>
          <w:tab w:val="left" w:pos="284"/>
        </w:tabs>
        <w:spacing w:line="360" w:lineRule="exact"/>
        <w:ind w:firstLine="420" w:firstLineChars="200"/>
        <w:rPr>
          <w:rFonts w:cs="宋体" w:asciiTheme="minorEastAsia" w:hAnsiTheme="minorEastAsia" w:eastAsiaTheme="minorEastAsia"/>
          <w:color w:val="FF0000"/>
          <w:szCs w:val="21"/>
        </w:rPr>
      </w:pPr>
      <w:r>
        <w:rPr>
          <w:rFonts w:hint="eastAsia" w:cs="宋体" w:asciiTheme="minorEastAsia" w:hAnsiTheme="minorEastAsia" w:eastAsiaTheme="minorEastAsia"/>
          <w:color w:val="000000"/>
          <w:szCs w:val="21"/>
        </w:rPr>
        <w:t>7.1 本项目磋商总价应包括为完成该项服务项目所涉及到的一切相关费用，成交后采购人不再支付其他任何费用。</w:t>
      </w:r>
    </w:p>
    <w:p w14:paraId="264BBE66">
      <w:pPr>
        <w:tabs>
          <w:tab w:val="left" w:pos="284"/>
        </w:tabs>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7.2 磋商报价方式</w:t>
      </w:r>
    </w:p>
    <w:p w14:paraId="451F5EB3">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7.2.1 供应商应按照竞争性磋商文件中提供的格式完整填写报价一览表。报价一览表中的报价应与磋商分项报价表的总价完全一致，如有不一致的，以报价一览表的报价为准。</w:t>
      </w:r>
    </w:p>
    <w:p w14:paraId="2D119D37">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000000"/>
          <w:szCs w:val="21"/>
        </w:rPr>
        <w:t>供应商填报磋商分项报价表时，每一单项均应计算并填写单价和总价，该表由法定代表人或代理人签署。供应商未填单价或合价的项目，在实施后，采购人将不予支付，并视为该</w:t>
      </w:r>
      <w:r>
        <w:rPr>
          <w:rFonts w:hint="eastAsia" w:cs="宋体" w:asciiTheme="minorEastAsia" w:hAnsiTheme="minorEastAsia" w:eastAsiaTheme="minorEastAsia"/>
          <w:color w:val="auto"/>
          <w:szCs w:val="21"/>
          <w:highlight w:val="none"/>
        </w:rPr>
        <w:t>项费用已包括在其它有价款的单价或合价内。一项磋商内容只允许一个报价，不接受任何有选择性的磋商报价。</w:t>
      </w:r>
    </w:p>
    <w:p w14:paraId="3CCF3613">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7.2.2 报价货币为人民币，评审时以人民币为准。</w:t>
      </w:r>
    </w:p>
    <w:p w14:paraId="7A69B5E2">
      <w:pPr>
        <w:spacing w:line="360" w:lineRule="exact"/>
        <w:ind w:firstLine="422" w:firstLineChars="200"/>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7.2.3 磋商报价高于最高限价的作为无效响应处理。</w:t>
      </w:r>
    </w:p>
    <w:p w14:paraId="09DBFC7F">
      <w:pPr>
        <w:spacing w:line="360" w:lineRule="exact"/>
        <w:ind w:firstLine="420" w:firstLineChars="200"/>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color w:val="auto"/>
          <w:szCs w:val="21"/>
          <w:highlight w:val="none"/>
        </w:rPr>
        <w:t>7.2.4 磋商报价次数：</w:t>
      </w:r>
      <w:r>
        <w:rPr>
          <w:rFonts w:hint="eastAsia" w:cs="宋体" w:asciiTheme="minorEastAsia" w:hAnsiTheme="minorEastAsia" w:eastAsiaTheme="minorEastAsia"/>
          <w:b/>
          <w:color w:val="auto"/>
          <w:szCs w:val="21"/>
          <w:highlight w:val="none"/>
        </w:rPr>
        <w:t>本项目采用至少二次报价，</w:t>
      </w:r>
      <w:r>
        <w:rPr>
          <w:rFonts w:hint="eastAsia" w:cs="宋体" w:asciiTheme="minorEastAsia" w:hAnsiTheme="minorEastAsia" w:eastAsiaTheme="minorEastAsia"/>
          <w:color w:val="auto"/>
          <w:szCs w:val="21"/>
          <w:highlight w:val="none"/>
        </w:rPr>
        <w:t>磋商响应文件报价一览表的报价作为首次报价，在磋商结束后，磋商小组应当要求所有实质性响应的供应商在规定时间内提交最后报价，最后报价作为评审依据。</w:t>
      </w:r>
      <w:r>
        <w:rPr>
          <w:rFonts w:hint="eastAsia" w:cs="宋体" w:asciiTheme="minorEastAsia" w:hAnsiTheme="minorEastAsia" w:eastAsiaTheme="minorEastAsia"/>
          <w:b/>
          <w:color w:val="auto"/>
          <w:szCs w:val="21"/>
          <w:highlight w:val="none"/>
        </w:rPr>
        <w:t>除实质性变动采购需求中的技术、服务要求以及合同草案条款外，供应商的最终报价不得高于磋商响应文件的首次报价，否则视为无效响应。</w:t>
      </w:r>
    </w:p>
    <w:p w14:paraId="63870A9B">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8.磋商响应文件的组成</w:t>
      </w:r>
    </w:p>
    <w:p w14:paraId="6A2F8AB1">
      <w:pPr>
        <w:spacing w:line="360" w:lineRule="exact"/>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szCs w:val="21"/>
        </w:rPr>
        <w:t>详见第五章《磋商响应文件的组成》。</w:t>
      </w:r>
    </w:p>
    <w:p w14:paraId="42C450F4">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9.磋商保证金</w:t>
      </w:r>
    </w:p>
    <w:p w14:paraId="7578EEEA">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9.1 磋商保证金是磋商响应文件的一个组成部分，供应商须按规定从供应商账户缴纳。磋商时，未按要求缴纳保证金的视为无效响应。</w:t>
      </w:r>
    </w:p>
    <w:p w14:paraId="7654301C">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9.2 未成交供应商的保证金将在成交通知书发出后五个工作日内退还。</w:t>
      </w:r>
    </w:p>
    <w:p w14:paraId="285A8D0E">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9.3 成交供应商的磋商保证金将在其合同签约完毕（合同须由代理机构备案）后五个工作日内退还。</w:t>
      </w:r>
    </w:p>
    <w:p w14:paraId="25834022">
      <w:pPr>
        <w:spacing w:line="360" w:lineRule="exact"/>
        <w:ind w:firstLine="420" w:firstLineChars="200"/>
        <w:rPr>
          <w:rFonts w:cs="宋体" w:asciiTheme="minorEastAsia" w:hAnsiTheme="minorEastAsia" w:eastAsiaTheme="minorEastAsia"/>
          <w:b/>
          <w:color w:val="auto"/>
          <w:szCs w:val="21"/>
        </w:rPr>
      </w:pPr>
      <w:r>
        <w:rPr>
          <w:rFonts w:hint="eastAsia" w:cs="宋体" w:asciiTheme="minorEastAsia" w:hAnsiTheme="minorEastAsia" w:eastAsiaTheme="minorEastAsia"/>
          <w:color w:val="auto"/>
          <w:szCs w:val="21"/>
        </w:rPr>
        <w:t>9.4 供应商出现下列情况之一的，取消其成交资格，</w:t>
      </w:r>
      <w:r>
        <w:rPr>
          <w:rFonts w:hint="eastAsia" w:cs="宋体" w:asciiTheme="minorEastAsia" w:hAnsiTheme="minorEastAsia" w:eastAsiaTheme="minorEastAsia"/>
          <w:b/>
          <w:color w:val="auto"/>
          <w:szCs w:val="21"/>
        </w:rPr>
        <w:t>并没收其磋商保证金：</w:t>
      </w:r>
    </w:p>
    <w:p w14:paraId="18CDA4A0">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9.4.1 供应商在磋商有效期内撤回其磋商响应文件（磋商过程中，经采购人确认，实质性变动采购需求中的技术、服务要求以及合同草案条款，供应商退出磋商的除外）；</w:t>
      </w:r>
    </w:p>
    <w:p w14:paraId="281AC21D">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9.4.2 成交供应商未能在磋商文件规定的期限提交履约保证金；</w:t>
      </w:r>
    </w:p>
    <w:p w14:paraId="3DA6E6B7">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9.4.3 成交供应商无正当理由拒绝签订合同或者由于供应商的原因导致成交无效的；</w:t>
      </w:r>
    </w:p>
    <w:p w14:paraId="473F2A8B">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9.4.4 供应商提供的有关资料、资格证明文件被确认是不真实的或供应商之间被证实有串通（统一哄抬价格）、欺诈行为；</w:t>
      </w:r>
    </w:p>
    <w:p w14:paraId="1A141B57">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9.4.5 供应商被证明有妨碍其他人公平竞争、损害代理机构或者其他供应商合法权益的；</w:t>
      </w:r>
    </w:p>
    <w:p w14:paraId="2D998FBF">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9.4.6 法律法规认定的其他情形。</w:t>
      </w:r>
    </w:p>
    <w:p w14:paraId="37B53FE9">
      <w:pPr>
        <w:pStyle w:val="2"/>
        <w:ind w:firstLine="422" w:firstLineChars="200"/>
        <w:jc w:val="left"/>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10.磋商响应文件的制作</w:t>
      </w:r>
    </w:p>
    <w:p w14:paraId="0C72C0D5">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color w:val="auto"/>
          <w:szCs w:val="21"/>
        </w:rPr>
        <w:t>10.l 供应商应提交</w:t>
      </w:r>
      <w:r>
        <w:rPr>
          <w:rFonts w:hint="eastAsia" w:cs="宋体" w:asciiTheme="minorEastAsia" w:hAnsiTheme="minorEastAsia" w:eastAsiaTheme="minorEastAsia"/>
          <w:b/>
          <w:color w:val="auto"/>
          <w:szCs w:val="21"/>
          <w:u w:val="single"/>
        </w:rPr>
        <w:t>装订的磋商响应文件</w:t>
      </w:r>
      <w:r>
        <w:rPr>
          <w:rFonts w:hint="eastAsia" w:cs="宋体" w:asciiTheme="minorEastAsia" w:hAnsiTheme="minorEastAsia" w:eastAsiaTheme="minorEastAsia"/>
          <w:b/>
          <w:bCs/>
          <w:color w:val="auto"/>
          <w:szCs w:val="21"/>
          <w:u w:val="single"/>
        </w:rPr>
        <w:t>壹份“正本”、贰份“副本”、壹份“电子文档”（载体</w:t>
      </w:r>
      <w:r>
        <w:rPr>
          <w:rFonts w:cs="宋体" w:asciiTheme="minorEastAsia" w:hAnsiTheme="minorEastAsia" w:eastAsiaTheme="minorEastAsia"/>
          <w:b/>
          <w:bCs/>
          <w:color w:val="auto"/>
          <w:szCs w:val="21"/>
          <w:u w:val="single"/>
        </w:rPr>
        <w:t>采用</w:t>
      </w:r>
      <w:r>
        <w:rPr>
          <w:rFonts w:hint="eastAsia" w:cs="宋体" w:asciiTheme="minorEastAsia" w:hAnsiTheme="minorEastAsia" w:eastAsiaTheme="minorEastAsia"/>
          <w:b/>
          <w:bCs/>
          <w:color w:val="auto"/>
          <w:szCs w:val="21"/>
          <w:u w:val="single"/>
        </w:rPr>
        <w:t>“电子光盘”或“U盘”，内容包含全套正本磋商响应文件）</w:t>
      </w:r>
      <w:r>
        <w:rPr>
          <w:rFonts w:hint="eastAsia" w:cs="宋体" w:asciiTheme="minorEastAsia" w:hAnsiTheme="minorEastAsia" w:eastAsiaTheme="minorEastAsia"/>
          <w:b/>
          <w:color w:val="auto"/>
          <w:szCs w:val="21"/>
          <w:u w:val="single"/>
        </w:rPr>
        <w:t>。</w:t>
      </w:r>
      <w:r>
        <w:rPr>
          <w:rFonts w:hint="eastAsia" w:cs="宋体" w:asciiTheme="minorEastAsia" w:hAnsiTheme="minorEastAsia" w:eastAsiaTheme="minorEastAsia"/>
          <w:color w:val="auto"/>
          <w:szCs w:val="21"/>
        </w:rPr>
        <w:t>纸质版磋</w:t>
      </w:r>
      <w:r>
        <w:rPr>
          <w:rFonts w:hint="eastAsia" w:cs="宋体" w:asciiTheme="minorEastAsia" w:hAnsiTheme="minorEastAsia" w:eastAsiaTheme="minorEastAsia"/>
          <w:szCs w:val="21"/>
        </w:rPr>
        <w:t>商响应文件正本和副本如有不一致之处，以纸质版正本为准。</w:t>
      </w:r>
    </w:p>
    <w:p w14:paraId="6C8070B6">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10.2 磋商响应文件正本、副本必须全部是打印件。供应商应按照要求签字、盖章。</w:t>
      </w:r>
    </w:p>
    <w:p w14:paraId="39CEBA67">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10.3 磋商响应文件应无涂改和行间插字，供应商造成的必须修改的错误，修改处应由磋商响应文件法定代表人或授权委托人签字或盖章并加盖供应商公章，否则修改无效。</w:t>
      </w:r>
    </w:p>
    <w:p w14:paraId="30BBB692">
      <w:pPr>
        <w:spacing w:line="360" w:lineRule="exact"/>
        <w:ind w:firstLine="420" w:firstLineChars="200"/>
        <w:rPr>
          <w:rFonts w:hint="eastAsia" w:cs="宋体" w:asciiTheme="minorEastAsia" w:hAnsiTheme="minorEastAsia" w:eastAsiaTheme="minorEastAsia"/>
          <w:b/>
          <w:color w:val="auto"/>
          <w:szCs w:val="21"/>
        </w:rPr>
      </w:pPr>
      <w:r>
        <w:rPr>
          <w:rFonts w:hint="eastAsia" w:cs="宋体" w:asciiTheme="minorEastAsia" w:hAnsiTheme="minorEastAsia" w:eastAsiaTheme="minorEastAsia"/>
          <w:szCs w:val="21"/>
        </w:rPr>
        <w:t xml:space="preserve">10.4 </w:t>
      </w:r>
      <w:r>
        <w:rPr>
          <w:rFonts w:hint="eastAsia" w:cs="宋体" w:asciiTheme="minorEastAsia" w:hAnsiTheme="minorEastAsia" w:eastAsiaTheme="minorEastAsia"/>
          <w:b/>
          <w:szCs w:val="21"/>
        </w:rPr>
        <w:t>本文件所表述（指定）的公章是指法定名称章，不包括合同专用章、业务专用章</w:t>
      </w:r>
      <w:r>
        <w:rPr>
          <w:rFonts w:hint="eastAsia" w:cs="宋体" w:asciiTheme="minorEastAsia" w:hAnsiTheme="minorEastAsia" w:eastAsiaTheme="minorEastAsia"/>
          <w:b/>
          <w:color w:val="auto"/>
          <w:szCs w:val="21"/>
        </w:rPr>
        <w:t>等印章；盖章是指加盖鲜章。</w:t>
      </w:r>
    </w:p>
    <w:p w14:paraId="27534DED">
      <w:pPr>
        <w:spacing w:line="360" w:lineRule="exact"/>
        <w:ind w:firstLine="422" w:firstLineChars="200"/>
        <w:rPr>
          <w:rFonts w:hint="eastAsia" w:eastAsia="宋体" w:cs="宋体" w:asciiTheme="minorEastAsia" w:hAnsiTheme="minorEastAsia"/>
          <w:b/>
          <w:color w:val="auto"/>
          <w:szCs w:val="21"/>
          <w:lang w:val="en-US" w:eastAsia="zh-CN"/>
        </w:rPr>
      </w:pPr>
      <w:r>
        <w:rPr>
          <w:rFonts w:hint="eastAsia" w:cs="宋体" w:asciiTheme="minorEastAsia" w:hAnsiTheme="minorEastAsia" w:eastAsiaTheme="minorEastAsia"/>
          <w:b/>
          <w:color w:val="auto"/>
          <w:szCs w:val="21"/>
          <w:lang w:val="en-US" w:eastAsia="zh-CN"/>
        </w:rPr>
        <w:t>10.5</w:t>
      </w:r>
      <w:r>
        <w:rPr>
          <w:rFonts w:hint="eastAsia" w:ascii="宋体" w:hAnsi="宋体" w:cs="宋体"/>
          <w:bCs/>
          <w:color w:val="auto"/>
          <w:kern w:val="0"/>
          <w:szCs w:val="21"/>
        </w:rPr>
        <w:t>供应商违反上述规定的，其响应文件将被作为无效响应文件，不予拆封和参加评审</w:t>
      </w:r>
      <w:r>
        <w:rPr>
          <w:rFonts w:hint="eastAsia" w:ascii="宋体" w:hAnsi="宋体" w:cs="宋体"/>
          <w:bCs/>
          <w:color w:val="auto"/>
          <w:kern w:val="0"/>
          <w:szCs w:val="21"/>
          <w:lang w:val="en-US" w:eastAsia="zh-CN"/>
        </w:rPr>
        <w:t>.</w:t>
      </w:r>
    </w:p>
    <w:p w14:paraId="4A53FE90">
      <w:pPr>
        <w:pStyle w:val="2"/>
        <w:ind w:firstLine="422" w:firstLineChars="200"/>
        <w:jc w:val="left"/>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11.磋商响应文件的有效期</w:t>
      </w:r>
    </w:p>
    <w:p w14:paraId="68E39416">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磋商响应文件有效期为规定的开标之日后</w:t>
      </w:r>
      <w:r>
        <w:rPr>
          <w:rFonts w:hint="eastAsia" w:cs="宋体" w:asciiTheme="minorEastAsia" w:hAnsiTheme="minorEastAsia" w:eastAsiaTheme="minorEastAsia"/>
          <w:b/>
          <w:color w:val="auto"/>
          <w:szCs w:val="21"/>
          <w:u w:val="single"/>
        </w:rPr>
        <w:t>六十（60）天</w:t>
      </w:r>
      <w:r>
        <w:rPr>
          <w:rFonts w:hint="eastAsia" w:cs="宋体" w:asciiTheme="minorEastAsia" w:hAnsiTheme="minorEastAsia" w:eastAsiaTheme="minorEastAsia"/>
          <w:color w:val="auto"/>
          <w:szCs w:val="21"/>
        </w:rPr>
        <w:t>。磋商有效期比规定短的将被视为无效响应而予以拒绝。</w:t>
      </w:r>
    </w:p>
    <w:p w14:paraId="7B55AB91">
      <w:pPr>
        <w:pStyle w:val="2"/>
        <w:ind w:firstLine="422" w:firstLineChars="200"/>
        <w:jc w:val="left"/>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12.磋商响应文件的密封</w:t>
      </w:r>
    </w:p>
    <w:p w14:paraId="76426542">
      <w:pPr>
        <w:spacing w:line="360" w:lineRule="exact"/>
        <w:ind w:firstLine="420" w:firstLineChars="200"/>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磋商响应文件</w:t>
      </w:r>
      <w:r>
        <w:rPr>
          <w:rFonts w:hint="eastAsia" w:cs="宋体" w:asciiTheme="minorEastAsia" w:hAnsiTheme="minorEastAsia" w:eastAsiaTheme="minorEastAsia"/>
          <w:b/>
          <w:color w:val="auto"/>
          <w:szCs w:val="21"/>
        </w:rPr>
        <w:t>正本、副本、电子文档均应当密封，</w:t>
      </w:r>
      <w:r>
        <w:rPr>
          <w:rFonts w:hint="eastAsia" w:cs="宋体" w:asciiTheme="minorEastAsia" w:hAnsiTheme="minorEastAsia" w:eastAsiaTheme="minorEastAsia"/>
          <w:color w:val="auto"/>
          <w:szCs w:val="21"/>
        </w:rPr>
        <w:t>所有封袋</w:t>
      </w:r>
      <w:r>
        <w:rPr>
          <w:rFonts w:hint="eastAsia" w:ascii="宋体" w:hAnsi="宋体" w:cs="宋体"/>
          <w:color w:val="auto"/>
          <w:szCs w:val="21"/>
        </w:rPr>
        <w:t>都应写明供应商名称、项目名称、项目编号、年月日，加盖供应商公章</w:t>
      </w:r>
      <w:r>
        <w:rPr>
          <w:rFonts w:hint="eastAsia" w:cs="宋体" w:asciiTheme="minorEastAsia" w:hAnsiTheme="minorEastAsia" w:eastAsiaTheme="minorEastAsia"/>
          <w:color w:val="auto"/>
          <w:szCs w:val="21"/>
        </w:rPr>
        <w:t>。</w:t>
      </w:r>
    </w:p>
    <w:p w14:paraId="36FEE90A">
      <w:pPr>
        <w:spacing w:line="360" w:lineRule="exact"/>
        <w:ind w:firstLine="420" w:firstLineChars="200"/>
        <w:rPr>
          <w:rFonts w:hint="eastAsia" w:eastAsia="宋体" w:cs="宋体" w:asciiTheme="minorEastAsia" w:hAnsiTheme="minorEastAsia"/>
          <w:color w:val="auto"/>
          <w:szCs w:val="21"/>
          <w:lang w:eastAsia="zh-CN"/>
        </w:rPr>
      </w:pPr>
      <w:r>
        <w:rPr>
          <w:rFonts w:hint="eastAsia" w:ascii="宋体" w:hAnsi="宋体" w:cs="宋体"/>
          <w:bCs/>
          <w:color w:val="auto"/>
          <w:kern w:val="0"/>
          <w:szCs w:val="21"/>
        </w:rPr>
        <w:t>供应商违反上述规定的，其响应文件将被作为无效响应文件，不予拆封和参加评审</w:t>
      </w:r>
      <w:r>
        <w:rPr>
          <w:rFonts w:hint="eastAsia" w:ascii="宋体" w:hAnsi="宋体" w:cs="宋体"/>
          <w:bCs/>
          <w:color w:val="auto"/>
          <w:kern w:val="0"/>
          <w:szCs w:val="21"/>
          <w:lang w:eastAsia="zh-CN"/>
        </w:rPr>
        <w:t>。</w:t>
      </w:r>
    </w:p>
    <w:p w14:paraId="3AA71888">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13.磋商响应文件提交截止时间及地点</w:t>
      </w:r>
    </w:p>
    <w:p w14:paraId="6C55FA1C">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供应商应在规定的截止日期和时间之前将磋商响应文件提交至公告中注明的地点，凡逾期送达的磋商响应文件将不予接收。</w:t>
      </w:r>
    </w:p>
    <w:p w14:paraId="2141ECC9">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14.磋商响应文件的修改和撤回</w:t>
      </w:r>
    </w:p>
    <w:p w14:paraId="565D5EF2">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供应商在提交响应文件截止时间前，可以对所提交的响应文件进行补充、修改或撤回，并书面通知代理机构。补充、修改的内容作为响应文件的组成部分。补充、修改的内容与响应文件不一致的，以补充、修改的内容为准。</w:t>
      </w:r>
    </w:p>
    <w:p w14:paraId="713F4C08">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szCs w:val="21"/>
        </w:rPr>
        <w:t>供应商的补充、修改或撤回文件应按规定进行编制、密封、标记和发送，并应在封套上加注“补充”、“修改”或“撤回”字样。上述补充或修改若涉及磋商报价，必须注明“最后唯一报价”字样，否则将视为有选择的报价。修改文件必须在磋商响应文件提交截止时间前送</w:t>
      </w:r>
      <w:r>
        <w:rPr>
          <w:rFonts w:hint="eastAsia" w:cs="宋体" w:asciiTheme="minorEastAsia" w:hAnsiTheme="minorEastAsia" w:eastAsiaTheme="minorEastAsia"/>
          <w:color w:val="auto"/>
          <w:szCs w:val="21"/>
        </w:rPr>
        <w:t>达磋商地点。</w:t>
      </w:r>
    </w:p>
    <w:p w14:paraId="6D6ABE21">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在磋商响应文件提交截止时间至竞争性磋商文件中规定的磋商有效期满之间的这段时间内，供应商不得撤销其磋商响应，否则其磋商保证金将不予退还。（磋商过程中，经采购人确认，实质性变动采购需求中的技术、服务要求以及合同草案条款，供应商退出磋商的除外）</w:t>
      </w:r>
    </w:p>
    <w:p w14:paraId="4AB358E7">
      <w:pPr>
        <w:pStyle w:val="2"/>
        <w:ind w:firstLine="422" w:firstLineChars="200"/>
        <w:jc w:val="left"/>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15.磋商仪式</w:t>
      </w:r>
    </w:p>
    <w:p w14:paraId="22215C70">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15.1 代理机构按磋商公告中规定的时间、地点组织磋商开始仪式。</w:t>
      </w:r>
    </w:p>
    <w:p w14:paraId="49AB270D">
      <w:pPr>
        <w:spacing w:line="360" w:lineRule="exact"/>
        <w:ind w:firstLine="420" w:firstLineChars="200"/>
        <w:rPr>
          <w:rFonts w:cs="宋体" w:asciiTheme="minorEastAsia" w:hAnsiTheme="minorEastAsia" w:eastAsiaTheme="minorEastAsia"/>
          <w:b/>
          <w:color w:val="auto"/>
          <w:szCs w:val="21"/>
        </w:rPr>
      </w:pPr>
      <w:r>
        <w:rPr>
          <w:rFonts w:hint="eastAsia" w:cs="宋体" w:asciiTheme="minorEastAsia" w:hAnsiTheme="minorEastAsia" w:eastAsiaTheme="minorEastAsia"/>
          <w:color w:val="auto"/>
          <w:szCs w:val="21"/>
        </w:rPr>
        <w:t>15.2 供应商参加磋商仪式的</w:t>
      </w:r>
      <w:r>
        <w:rPr>
          <w:rFonts w:hint="eastAsia" w:cs="宋体" w:asciiTheme="minorEastAsia" w:hAnsiTheme="minorEastAsia" w:eastAsiaTheme="minorEastAsia"/>
          <w:b/>
          <w:color w:val="auto"/>
          <w:szCs w:val="21"/>
        </w:rPr>
        <w:t>应由法定代表人或委托代理人准时参加，并签名报到以证明其出席，否则视为无效响应。</w:t>
      </w:r>
    </w:p>
    <w:p w14:paraId="630B38D4">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16.磋商小组</w:t>
      </w:r>
    </w:p>
    <w:p w14:paraId="73BD57D1">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color w:val="333333"/>
          <w:szCs w:val="21"/>
          <w:shd w:val="clear" w:color="auto" w:fill="FFFFFF"/>
        </w:rPr>
        <w:t>评审由磋商小组负责，磋商小组成员按照客观、公正、审慎的原则，根据磋商文件规定的评审程序、评审方法和评审标准进行独立评审。</w:t>
      </w:r>
    </w:p>
    <w:p w14:paraId="67B2C405">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17.评审内容的保密</w:t>
      </w:r>
    </w:p>
    <w:p w14:paraId="7BCC0E1E">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17.1 磋商开始后，直到宣布授予成交供应商合同为止，凡属于审查、澄清、评价和比较磋商响应文件的所有资料，有关授予合同的信息都不应向供应商或与评审无关的其他人泄露。</w:t>
      </w:r>
    </w:p>
    <w:p w14:paraId="70EC9307">
      <w:pPr>
        <w:spacing w:line="3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.2</w:t>
      </w:r>
      <w:r>
        <w:rPr>
          <w:rFonts w:hint="eastAsia" w:asciiTheme="minorEastAsia" w:hAnsiTheme="minorEastAsia" w:eastAsiaTheme="minorEastAsia"/>
          <w:szCs w:val="21"/>
        </w:rPr>
        <w:t xml:space="preserve"> 在评审过程中，供应商不得以任何行为影响评审过程，否则其磋商响应文件将被作为无效磋商响应文件。</w:t>
      </w:r>
    </w:p>
    <w:p w14:paraId="46B5F91A">
      <w:pPr>
        <w:spacing w:line="3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.3</w:t>
      </w:r>
      <w:r>
        <w:rPr>
          <w:rFonts w:hint="eastAsia" w:asciiTheme="minorEastAsia" w:hAnsiTheme="minorEastAsia" w:eastAsiaTheme="minorEastAsia"/>
          <w:szCs w:val="21"/>
        </w:rPr>
        <w:t>代理机构和磋商小组不向未成交的供应商解释未成交原因，也不公布评审过程中的相关细节。</w:t>
      </w:r>
    </w:p>
    <w:p w14:paraId="0AE1C931">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18.对磋商响应文件的审查</w:t>
      </w:r>
    </w:p>
    <w:p w14:paraId="3FA0B5D2">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磋商响应文件初审分为资格审查和符合性审查。</w:t>
      </w:r>
    </w:p>
    <w:p w14:paraId="455BFAF4">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18.1 资格审查：依据法律法规和竞争性磋商文件的规定，对磋商响应文件中的资格证明文件进行审查。</w:t>
      </w:r>
    </w:p>
    <w:p w14:paraId="4E758385">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18.2 符合性审查：依据竞争性磋商文件的规定，由磋商小组从磋商响应文件的有效性、完整性和竞争性磋商响应程度进行审查，以确定是否对竞争性磋商文件的实质性要求作出响应。</w:t>
      </w:r>
    </w:p>
    <w:p w14:paraId="06D963D9">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在正式磋商之前，磋商小组将首先审查每份磋商响应文件是否实质性响应了竞争性磋商文件的要求。实质性响应的磋商响应文件应该是与竞争性磋商文件要求的条款、条件和规格相符，没有重大负偏离或保留。</w:t>
      </w:r>
    </w:p>
    <w:p w14:paraId="60EDA1A5">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所谓重大偏离或保留是指与竞争性磋商文件规定的实质性要求存在负偏离，或者在实质上与竞争性磋商文件不一致，而且限制了合同中采购人和见证方的权利或供应商的义务，纠正这些偏离或保留将会对其他实质性响应要求的供应商的竞争地位产生不公正的影响。重大偏离的认定需经过磋商小组三分二及以上成员的认定。磋商小组决定磋商响应文件的响应性只根据磋商响应文件本身的内容，而不寻求外部的证据。竞争性磋商如果磋商响应文件实质上未响应竞争性磋商文件的要求，磋商小组将予以拒绝，供应商不得通过修改或撤销不合要求的偏离或保留而使其磋商响应文件成为实质性响应。</w:t>
      </w:r>
    </w:p>
    <w:p w14:paraId="2D97F2C1">
      <w:pPr>
        <w:pStyle w:val="5"/>
        <w:overflowPunct w:val="0"/>
        <w:spacing w:line="360" w:lineRule="exact"/>
        <w:ind w:firstLine="422" w:firstLineChars="200"/>
        <w:rPr>
          <w:rFonts w:cs="宋体" w:asciiTheme="minorEastAsia" w:hAnsiTheme="minorEastAsia" w:eastAsiaTheme="minorEastAsia"/>
          <w:sz w:val="21"/>
          <w:szCs w:val="21"/>
        </w:rPr>
      </w:pPr>
      <w:r>
        <w:rPr>
          <w:rFonts w:hint="eastAsia" w:cs="宋体" w:asciiTheme="minorEastAsia" w:hAnsiTheme="minorEastAsia" w:eastAsiaTheme="minorEastAsia"/>
          <w:b/>
          <w:sz w:val="21"/>
          <w:szCs w:val="21"/>
        </w:rPr>
        <w:t>18.3 磋商响应文件出现下列情况之一的，将作为无效磋商响应文件处理</w:t>
      </w:r>
      <w:r>
        <w:rPr>
          <w:rFonts w:hint="eastAsia" w:cs="宋体" w:asciiTheme="minorEastAsia" w:hAnsiTheme="minorEastAsia" w:eastAsiaTheme="minorEastAsia"/>
          <w:sz w:val="21"/>
          <w:szCs w:val="21"/>
        </w:rPr>
        <w:t xml:space="preserve">： </w:t>
      </w:r>
    </w:p>
    <w:p w14:paraId="7117748A">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szCs w:val="21"/>
        </w:rPr>
        <w:t>18.3.1 供应商未通过领购申请的或者在名称上和法人地位上与领购时发生实质性改变</w:t>
      </w:r>
      <w:r>
        <w:rPr>
          <w:rFonts w:hint="eastAsia" w:cs="宋体" w:asciiTheme="minorEastAsia" w:hAnsiTheme="minorEastAsia" w:eastAsiaTheme="minorEastAsia"/>
          <w:color w:val="auto"/>
          <w:szCs w:val="21"/>
        </w:rPr>
        <w:t>的；</w:t>
      </w:r>
    </w:p>
    <w:p w14:paraId="310B2A65">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18.3.2 未按竞争性磋商文件要求缴纳磋商保证金的（免交磋商保证金的除外）；</w:t>
      </w:r>
    </w:p>
    <w:p w14:paraId="5FE96749">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18.3.3 磋商响应文件提交时未按规定密封、盖章的，电子文档未按要求提供的；</w:t>
      </w:r>
    </w:p>
    <w:p w14:paraId="7CF9929D">
      <w:pPr>
        <w:spacing w:line="360" w:lineRule="exact"/>
        <w:ind w:firstLine="422" w:firstLineChars="200"/>
        <w:rPr>
          <w:rFonts w:cs="宋体" w:asciiTheme="minorEastAsia" w:hAnsiTheme="minorEastAsia" w:eastAsiaTheme="minorEastAsia"/>
          <w:b/>
          <w:color w:val="auto"/>
          <w:szCs w:val="21"/>
        </w:rPr>
      </w:pPr>
      <w:r>
        <w:rPr>
          <w:rFonts w:hint="eastAsia" w:cs="宋体" w:asciiTheme="minorEastAsia" w:hAnsiTheme="minorEastAsia" w:eastAsiaTheme="minorEastAsia"/>
          <w:b/>
          <w:color w:val="auto"/>
          <w:szCs w:val="21"/>
        </w:rPr>
        <w:t>18.3.4供应商被“信用中国”网站（www.creditchina.gov.cn）列入失信被执行人、重大税收违法案件当事人名单、严重失信行为记录名单的；（联合体任一成员存在不良信用记录的，视为联合体存在不良应用记录）；</w:t>
      </w:r>
    </w:p>
    <w:p w14:paraId="3495C4BF">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color w:val="auto"/>
          <w:szCs w:val="21"/>
        </w:rPr>
        <w:t>18.3.5 法定代表人或委托代理人未准时参加磋商的，未</w:t>
      </w:r>
      <w:r>
        <w:rPr>
          <w:rFonts w:hint="eastAsia" w:cs="宋体" w:asciiTheme="minorEastAsia" w:hAnsiTheme="minorEastAsia" w:eastAsiaTheme="minorEastAsia"/>
          <w:szCs w:val="21"/>
        </w:rPr>
        <w:t>按磋商文件要求提供法定代表人资格证明书或授权委托书的、无供应商公章的、无法定代表人或委托代理人签字或盖章的、非原件的；</w:t>
      </w:r>
    </w:p>
    <w:p w14:paraId="490F2412">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18.3.6 供应商不符合磋商文件中规定资格要求的，或者资格要求证明材料提供不齐全的；</w:t>
      </w:r>
    </w:p>
    <w:p w14:paraId="6B33108F">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18.3.7 磋商响应文件未按竞争性磋商文件规定的格式、内容和要求编制，磋商响应文件字迹潦草、模糊、难以辨认；</w:t>
      </w:r>
    </w:p>
    <w:p w14:paraId="2690B7D8">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18.3.8 磋商响应文件材料所述情况和所附相关资料不实的；</w:t>
      </w:r>
    </w:p>
    <w:p w14:paraId="15947D2B">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18.3.9 供应商以他人的名义参加磋商、相互串通、以行贿手段谋取成交或者以其他弄虚作假方式参与磋商的；</w:t>
      </w:r>
    </w:p>
    <w:p w14:paraId="5067B723">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18.3.10 供应商在一份磋商响应文件中，对同一采购项目报有两个或多个报价，且未书面确定以哪个报价为准的；</w:t>
      </w:r>
    </w:p>
    <w:p w14:paraId="743A00CA">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18.3.11 供应商的磋商报价超出采购预算或者最高限价的；</w:t>
      </w:r>
    </w:p>
    <w:p w14:paraId="5A7DD17E">
      <w:pPr>
        <w:spacing w:line="360" w:lineRule="exact"/>
        <w:ind w:firstLine="422" w:firstLineChars="200"/>
        <w:rPr>
          <w:rFonts w:cs="宋体" w:asciiTheme="minorEastAsia" w:hAnsiTheme="minorEastAsia" w:eastAsiaTheme="minorEastAsia"/>
          <w:szCs w:val="21"/>
        </w:rPr>
      </w:pPr>
      <w:r>
        <w:rPr>
          <w:rFonts w:hint="eastAsia" w:cs="宋体" w:asciiTheme="minorEastAsia" w:hAnsiTheme="minorEastAsia" w:eastAsiaTheme="minorEastAsia"/>
          <w:b/>
          <w:szCs w:val="21"/>
        </w:rPr>
        <w:t>18.3.12 除实质性变动采购需求中的技术、服务要求以及合同草案条款外，供应商的最终报价高于磋商响应文件的首次报价的；</w:t>
      </w:r>
    </w:p>
    <w:p w14:paraId="2216E76C">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18.3.13 未按要求提供带“</w:t>
      </w:r>
      <w:r>
        <w:rPr>
          <w:rFonts w:hint="eastAsia" w:ascii="宋体" w:hAnsi="Times New Roman" w:eastAsia="宋体" w:cs="宋体"/>
          <w:b w:val="0"/>
          <w:bCs/>
          <w:kern w:val="0"/>
          <w:sz w:val="21"/>
          <w:szCs w:val="21"/>
          <w:lang w:val="en-US" w:eastAsia="zh-CN" w:bidi="ar-SA"/>
        </w:rPr>
        <w:t>★</w:t>
      </w:r>
      <w:r>
        <w:rPr>
          <w:rFonts w:hint="eastAsia" w:cs="宋体" w:asciiTheme="minorEastAsia" w:hAnsiTheme="minorEastAsia" w:eastAsiaTheme="minorEastAsia"/>
          <w:szCs w:val="21"/>
        </w:rPr>
        <w:t>”项材料或者带“</w:t>
      </w:r>
      <w:r>
        <w:rPr>
          <w:rFonts w:hint="eastAsia" w:ascii="宋体" w:hAnsi="Times New Roman" w:eastAsia="宋体" w:cs="宋体"/>
          <w:b w:val="0"/>
          <w:bCs/>
          <w:kern w:val="0"/>
          <w:sz w:val="21"/>
          <w:szCs w:val="21"/>
          <w:lang w:val="en-US" w:eastAsia="zh-CN" w:bidi="ar-SA"/>
        </w:rPr>
        <w:t>★</w:t>
      </w:r>
      <w:r>
        <w:rPr>
          <w:rFonts w:hint="eastAsia" w:cs="宋体" w:asciiTheme="minorEastAsia" w:hAnsiTheme="minorEastAsia" w:eastAsiaTheme="minorEastAsia"/>
          <w:szCs w:val="21"/>
        </w:rPr>
        <w:t>”项内容未盖公章的；</w:t>
      </w:r>
    </w:p>
    <w:p w14:paraId="2763A52E">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18.3.14 磋商小组认为供应商的报价明显低于其他通过符合性审查供应商的报价，有可能不能诚信履约的，应当要求其在评审现场合理的时间内提供书面说明，必要时提交相关证明材料；供应商不能证明其报价合理性的，磋商小组应当将其作为无效响应处理；</w:t>
      </w:r>
    </w:p>
    <w:p w14:paraId="63339CF7">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18.3.15 磋商响应文件含有采购人不能接受的附加条件的；</w:t>
      </w:r>
    </w:p>
    <w:p w14:paraId="0AD86084">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18.3.16 竞争性磋商文件明确规定无效的其他情形，或者其他被磋商小组认定无效的情况；</w:t>
      </w:r>
    </w:p>
    <w:p w14:paraId="64E97BD0">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18.3.17 不符合法律、法规和竞争性磋商文件规定的其他实质性要求的。</w:t>
      </w:r>
    </w:p>
    <w:p w14:paraId="36FB3A85">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18.4 有下列情形之一的，视为供应商相互串通，无效响应：</w:t>
      </w:r>
    </w:p>
    <w:p w14:paraId="1FB4F861">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18.4.1 不同供应商的磋商响应文件由同一单位或者个人编制；</w:t>
      </w:r>
    </w:p>
    <w:p w14:paraId="58592701">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18.4.2 不同供应商委托同一单位或者个人办理磋商事宜；</w:t>
      </w:r>
    </w:p>
    <w:p w14:paraId="6C8FCC5A">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18.4.3 不同供应商的磋商响应文件载明的项目管理成员或者联系人员为同一人；</w:t>
      </w:r>
    </w:p>
    <w:p w14:paraId="4D450FAE">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18.4.4 不同供应商的磋商响应文件异常一致或者磋商报价呈规律性差异；</w:t>
      </w:r>
    </w:p>
    <w:p w14:paraId="68350F44">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18.4.5 不同供应商的磋商响应文件相互混装；</w:t>
      </w:r>
    </w:p>
    <w:p w14:paraId="233FD743">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18.4.6 不同供应商的磋商保证金从同一单位或者个人的账户转出。</w:t>
      </w:r>
    </w:p>
    <w:p w14:paraId="2C187448">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19.磋商响应文件的澄清</w:t>
      </w:r>
    </w:p>
    <w:p w14:paraId="5ED3A867">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19.1 为了有助于磋商响应文件的审查、评价和比较，磋商小组可以书面方式要求供应商对磋商响应文件中含义不明确、对同类问题表述不一致或者明显文字和计算错误的内容作必要的澄清、说明或者补正。供应商的澄清、说明或者补正应当采用书面形式，并加盖公章，或者由法定代表人或其授权的代表签字。</w:t>
      </w:r>
    </w:p>
    <w:p w14:paraId="2B4FA493">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19.2 磋商小组可要求供应商就澄清的问题作出答复，该答复经供应商代表的签字认可，将作为磋商响应文件内容的一部分。</w:t>
      </w:r>
    </w:p>
    <w:p w14:paraId="05F6E2D1">
      <w:pPr>
        <w:spacing w:line="360" w:lineRule="exact"/>
        <w:ind w:firstLine="420" w:firstLineChars="200"/>
        <w:rPr>
          <w:rFonts w:cs="宋体" w:asciiTheme="minorEastAsia" w:hAnsiTheme="minorEastAsia" w:eastAsiaTheme="minorEastAsia"/>
          <w:szCs w:val="21"/>
        </w:rPr>
      </w:pPr>
      <w:r>
        <w:rPr>
          <w:rFonts w:cs="宋体" w:asciiTheme="minorEastAsia" w:hAnsiTheme="minorEastAsia" w:eastAsiaTheme="minorEastAsia"/>
          <w:szCs w:val="21"/>
        </w:rPr>
        <w:t xml:space="preserve">19.3 </w:t>
      </w:r>
      <w:r>
        <w:rPr>
          <w:rFonts w:hint="eastAsia" w:cs="宋体" w:asciiTheme="minorEastAsia" w:hAnsiTheme="minorEastAsia" w:eastAsiaTheme="minorEastAsia"/>
          <w:szCs w:val="21"/>
        </w:rPr>
        <w:t>供应商在进行澄清、说明、答辩或补正时，不得改变磋商的价格（校核时发现的算术错误除外）、超出磋商文件的范围及改变磋商响应文件的实质性内容。</w:t>
      </w:r>
    </w:p>
    <w:p w14:paraId="62FAFB0F">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19.4 磋商响应文件报价出现前后不一致的，除竞争性磋商文件另有规定外，按照下列规定修正：</w:t>
      </w:r>
    </w:p>
    <w:p w14:paraId="1CFDE632">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19.4.1 磋商响应文件中报价一览表内容与磋商响应文件中相应内容不一致的，以报价一览表为准；</w:t>
      </w:r>
    </w:p>
    <w:p w14:paraId="6FC859DF">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19.4.2 磋商响应文件的大写金额与小写金额不一致的，以大写金额为准；</w:t>
      </w:r>
    </w:p>
    <w:p w14:paraId="493882C2">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19.4.3 单价金额小数点或者百分比有明显错位的，以报价一览表的总价为准，并修改单价；</w:t>
      </w:r>
    </w:p>
    <w:p w14:paraId="3A94252A">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19.4.4 总价金额与按单价汇总金额不一致的，以单价金额计算结果为准。</w:t>
      </w:r>
    </w:p>
    <w:p w14:paraId="47523B6E">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同时出现两种以上不一致的，按照前款规定的顺序修正。修正后的报价按照本竞争性磋商文件规定经供应商确认后产生约束力，供应商不确认的，其磋商无效，其磋商保证金不予退还。</w:t>
      </w:r>
      <w:r>
        <w:rPr>
          <w:rFonts w:hint="eastAsia" w:cs="宋体" w:asciiTheme="minorEastAsia" w:hAnsiTheme="minorEastAsia" w:eastAsiaTheme="minorEastAsia"/>
          <w:b/>
          <w:szCs w:val="21"/>
        </w:rPr>
        <w:t>存在缺项漏项或者数量不符合竞争性磋商文件要求的作为无效磋商响应文件处理</w:t>
      </w:r>
      <w:r>
        <w:rPr>
          <w:rFonts w:hint="eastAsia" w:cs="宋体" w:asciiTheme="minorEastAsia" w:hAnsiTheme="minorEastAsia" w:eastAsiaTheme="minorEastAsia"/>
          <w:szCs w:val="21"/>
        </w:rPr>
        <w:t>；对不同文字文本磋商响应文件的解释发生异议的，以中文文本为准。</w:t>
      </w:r>
    </w:p>
    <w:p w14:paraId="5C92B613">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19.5 供应商拒不按照磋商小组要求作出澄清、说明或者补正的，作为无效响应处理。</w:t>
      </w:r>
    </w:p>
    <w:p w14:paraId="622720E5">
      <w:pPr>
        <w:spacing w:line="360" w:lineRule="exact"/>
        <w:ind w:firstLine="420" w:firstLineChars="200"/>
        <w:rPr>
          <w:rFonts w:cs="宋体" w:asciiTheme="minorEastAsia" w:hAnsiTheme="minorEastAsia" w:eastAsiaTheme="minorEastAsia"/>
          <w:strike/>
          <w:color w:val="FF0000"/>
          <w:szCs w:val="21"/>
        </w:rPr>
      </w:pPr>
      <w:r>
        <w:rPr>
          <w:rFonts w:hint="eastAsia" w:cs="宋体" w:asciiTheme="minorEastAsia" w:hAnsiTheme="minorEastAsia" w:eastAsiaTheme="minorEastAsia"/>
          <w:szCs w:val="21"/>
        </w:rPr>
        <w:t>19.6 磋商小组对磋商响应文件的判定，只依据磋商响应文件内容本身，不依靠磋商响应文件后的任何外来证明。</w:t>
      </w:r>
    </w:p>
    <w:p w14:paraId="7FE3C395">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20.磋商变动实质性内容</w:t>
      </w:r>
    </w:p>
    <w:p w14:paraId="4A8021B8">
      <w:pPr>
        <w:snapToGrid w:val="0"/>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按照磋商文件的变动情况和磋商小组的要求重新提交响应文件，并由其法定代表人或授权代表签字或者加盖公章。由授权代表签字的，应当附法定代表人授权书。</w:t>
      </w:r>
    </w:p>
    <w:p w14:paraId="3D3D9316">
      <w:pPr>
        <w:snapToGrid w:val="0"/>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已提交响应文件的供应商，在提交最后报价前，可以根据磋商情况退出磋商，代理机构退还该供应商磋商保证金。</w:t>
      </w:r>
    </w:p>
    <w:p w14:paraId="3990B4E5">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21. 出现下列情形之一的，终止竞争性磋商采购活动</w:t>
      </w:r>
    </w:p>
    <w:p w14:paraId="41F47C5F">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21.1 因情况变化，不再符合规定的竞争性磋商采购方式适用情形的；</w:t>
      </w:r>
    </w:p>
    <w:p w14:paraId="4F901D03">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21.2 出现影响采购公正的违法、违规行为的；</w:t>
      </w:r>
    </w:p>
    <w:p w14:paraId="75CBA20C">
      <w:pPr>
        <w:spacing w:line="360" w:lineRule="exact"/>
        <w:ind w:firstLine="420" w:firstLineChars="200"/>
        <w:rPr>
          <w:rFonts w:hint="eastAsia" w:cs="宋体" w:asciiTheme="minorEastAsia" w:hAnsiTheme="minorEastAsia" w:eastAsiaTheme="minorEastAsia"/>
          <w:color w:val="auto"/>
          <w:szCs w:val="21"/>
        </w:rPr>
      </w:pPr>
      <w:r>
        <w:rPr>
          <w:rFonts w:hint="eastAsia" w:cs="宋体" w:asciiTheme="minorEastAsia" w:hAnsiTheme="minorEastAsia" w:eastAsiaTheme="minorEastAsia"/>
          <w:szCs w:val="21"/>
        </w:rPr>
        <w:t>21.</w:t>
      </w:r>
      <w:r>
        <w:rPr>
          <w:rFonts w:hint="eastAsia" w:cs="宋体" w:asciiTheme="minorEastAsia" w:hAnsiTheme="minorEastAsia" w:eastAsiaTheme="minorEastAsia"/>
          <w:color w:val="auto"/>
          <w:szCs w:val="21"/>
        </w:rPr>
        <w:t>3 供应商的最终报价均超过了采购预算，采购人不能支付的；</w:t>
      </w:r>
    </w:p>
    <w:p w14:paraId="5D5BF946">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lang w:val="en-US" w:eastAsia="zh-CN"/>
        </w:rPr>
        <w:t>21.4</w:t>
      </w:r>
      <w:r>
        <w:rPr>
          <w:rFonts w:hint="eastAsia" w:ascii="宋体" w:hAnsi="宋体" w:cs="宋体"/>
          <w:bCs/>
          <w:color w:val="auto"/>
          <w:kern w:val="0"/>
          <w:szCs w:val="21"/>
        </w:rPr>
        <w:t>在采购过程中符合竞争要求的供应商或者报价未超过采购预算或</w:t>
      </w:r>
      <w:r>
        <w:rPr>
          <w:rFonts w:hint="eastAsia" w:ascii="宋体" w:hAnsi="宋体" w:cs="宋体"/>
          <w:b/>
          <w:bCs w:val="0"/>
          <w:color w:val="auto"/>
          <w:kern w:val="0"/>
          <w:szCs w:val="21"/>
        </w:rPr>
        <w:t>最高限价</w:t>
      </w:r>
      <w:r>
        <w:rPr>
          <w:rFonts w:hint="eastAsia" w:ascii="宋体" w:hAnsi="宋体" w:cs="宋体"/>
          <w:bCs/>
          <w:color w:val="auto"/>
          <w:kern w:val="0"/>
          <w:szCs w:val="21"/>
        </w:rPr>
        <w:t>的供应商</w:t>
      </w:r>
      <w:r>
        <w:rPr>
          <w:rFonts w:hint="eastAsia" w:ascii="宋体" w:hAnsi="宋体" w:cs="宋体"/>
          <w:b/>
          <w:bCs w:val="0"/>
          <w:color w:val="auto"/>
          <w:kern w:val="0"/>
          <w:szCs w:val="21"/>
        </w:rPr>
        <w:t>不足2家</w:t>
      </w:r>
      <w:r>
        <w:rPr>
          <w:rFonts w:hint="eastAsia" w:ascii="宋体" w:hAnsi="宋体" w:cs="宋体"/>
          <w:bCs/>
          <w:color w:val="auto"/>
          <w:kern w:val="0"/>
          <w:szCs w:val="21"/>
        </w:rPr>
        <w:t>的。</w:t>
      </w:r>
    </w:p>
    <w:p w14:paraId="75427390">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21.</w:t>
      </w:r>
      <w:r>
        <w:rPr>
          <w:rFonts w:hint="eastAsia" w:cs="宋体" w:asciiTheme="minorEastAsia" w:hAnsiTheme="minorEastAsia" w:eastAsiaTheme="minorEastAsia"/>
          <w:szCs w:val="21"/>
          <w:lang w:val="en-US" w:eastAsia="zh-CN"/>
        </w:rPr>
        <w:t>5</w:t>
      </w:r>
      <w:r>
        <w:rPr>
          <w:rFonts w:hint="eastAsia" w:cs="宋体" w:asciiTheme="minorEastAsia" w:hAnsiTheme="minorEastAsia" w:eastAsiaTheme="minorEastAsia"/>
          <w:szCs w:val="21"/>
        </w:rPr>
        <w:t xml:space="preserve"> 因重大变故，采购任务取消的。</w:t>
      </w:r>
    </w:p>
    <w:p w14:paraId="2D1FDFF0">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22.评审方法</w:t>
      </w:r>
    </w:p>
    <w:p w14:paraId="7286BED7">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22.1</w:t>
      </w:r>
      <w:r>
        <w:rPr>
          <w:rFonts w:hint="eastAsia" w:cs="宋体" w:asciiTheme="minorEastAsia" w:hAnsiTheme="minorEastAsia" w:eastAsiaTheme="minorEastAsia"/>
          <w:b/>
          <w:szCs w:val="21"/>
        </w:rPr>
        <w:t>本项目采用综合评分法，</w:t>
      </w:r>
      <w:r>
        <w:rPr>
          <w:rFonts w:hint="eastAsia" w:cs="宋体" w:asciiTheme="minorEastAsia" w:hAnsiTheme="minorEastAsia" w:eastAsiaTheme="minorEastAsia"/>
          <w:szCs w:val="21"/>
        </w:rPr>
        <w:t>磋商响应文件满足竞争性磋商文件全部实质性要求且按照评审因素的量化指标（即评审细则）得分最高的供应商为成交供应商。</w:t>
      </w:r>
    </w:p>
    <w:p w14:paraId="053B0406">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kern w:val="0"/>
          <w:szCs w:val="21"/>
        </w:rPr>
        <w:t xml:space="preserve">22.2 </w:t>
      </w:r>
      <w:r>
        <w:rPr>
          <w:rFonts w:hint="eastAsia" w:cs="宋体" w:asciiTheme="minorEastAsia" w:hAnsiTheme="minorEastAsia" w:eastAsiaTheme="minorEastAsia"/>
          <w:b/>
          <w:szCs w:val="21"/>
          <w:u w:val="single"/>
        </w:rPr>
        <w:t>采购人授权磋商小组直接确定成交供应商。</w:t>
      </w:r>
    </w:p>
    <w:p w14:paraId="490CF597">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23.</w:t>
      </w:r>
      <w:r>
        <w:rPr>
          <w:rFonts w:hint="eastAsia" w:asciiTheme="minorEastAsia" w:hAnsiTheme="minorEastAsia" w:eastAsiaTheme="minorEastAsia"/>
          <w:bCs/>
          <w:sz w:val="21"/>
          <w:szCs w:val="21"/>
        </w:rPr>
        <w:t>成交结果</w:t>
      </w:r>
      <w:r>
        <w:rPr>
          <w:rFonts w:hint="eastAsia" w:cs="宋体" w:asciiTheme="minorEastAsia" w:hAnsiTheme="minorEastAsia" w:eastAsiaTheme="minorEastAsia"/>
          <w:sz w:val="21"/>
          <w:szCs w:val="21"/>
        </w:rPr>
        <w:t>及公示</w:t>
      </w:r>
    </w:p>
    <w:p w14:paraId="703D2A67">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代理机构将成交结果在原公告媒体上予以公告。公告期限为公告发布之日起1个工作日。</w:t>
      </w:r>
    </w:p>
    <w:p w14:paraId="57885F2C">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24.成交通知书</w:t>
      </w:r>
    </w:p>
    <w:p w14:paraId="33E2A32A">
      <w:pPr>
        <w:pStyle w:val="5"/>
        <w:overflowPunct w:val="0"/>
        <w:spacing w:line="360" w:lineRule="exact"/>
        <w:ind w:firstLineChars="200"/>
        <w:rPr>
          <w:rFonts w:cs="宋体" w:asciiTheme="minorEastAsia" w:hAnsiTheme="minorEastAsia" w:eastAsiaTheme="minorEastAsia"/>
          <w:b/>
          <w:sz w:val="21"/>
          <w:szCs w:val="21"/>
        </w:rPr>
      </w:pPr>
      <w:r>
        <w:rPr>
          <w:rFonts w:hint="eastAsia" w:cs="宋体" w:asciiTheme="minorEastAsia" w:hAnsiTheme="minorEastAsia" w:eastAsiaTheme="minorEastAsia"/>
          <w:sz w:val="21"/>
          <w:szCs w:val="21"/>
        </w:rPr>
        <w:t>24.1 成交结果确定后，代理机构将向成交供应商发出成交通知书。</w:t>
      </w:r>
    </w:p>
    <w:p w14:paraId="3C73A6AD">
      <w:pPr>
        <w:pStyle w:val="5"/>
        <w:overflowPunct w:val="0"/>
        <w:spacing w:line="360" w:lineRule="exact"/>
        <w:ind w:firstLineChars="200"/>
        <w:rPr>
          <w:rFonts w:cs="宋体" w:asciiTheme="minorEastAsia" w:hAnsiTheme="minorEastAsia" w:eastAsiaTheme="minorEastAsia"/>
          <w:b/>
          <w:sz w:val="21"/>
          <w:szCs w:val="21"/>
        </w:rPr>
      </w:pPr>
      <w:r>
        <w:rPr>
          <w:rFonts w:hint="eastAsia" w:cs="宋体" w:asciiTheme="minorEastAsia" w:hAnsiTheme="minorEastAsia" w:eastAsiaTheme="minorEastAsia"/>
          <w:sz w:val="21"/>
          <w:szCs w:val="21"/>
        </w:rPr>
        <w:t>24.2 成交通知书对采购人和成交供应商具有法律约束力。成交通知书发出后，采购人改变成交结果或者成交供应商放弃成交资格，均应当承担相应的法律责任，且不影响成交服务费的支付。</w:t>
      </w:r>
    </w:p>
    <w:p w14:paraId="0871A22B">
      <w:pPr>
        <w:pStyle w:val="5"/>
        <w:overflowPunct w:val="0"/>
        <w:spacing w:line="360" w:lineRule="exact"/>
        <w:ind w:firstLineChars="200"/>
        <w:rPr>
          <w:rFonts w:cs="宋体" w:asciiTheme="minorEastAsia" w:hAnsiTheme="minorEastAsia" w:eastAsiaTheme="minorEastAsia"/>
          <w:b/>
          <w:sz w:val="21"/>
          <w:szCs w:val="21"/>
        </w:rPr>
      </w:pPr>
      <w:r>
        <w:rPr>
          <w:rFonts w:hint="eastAsia" w:cs="宋体" w:asciiTheme="minorEastAsia" w:hAnsiTheme="minorEastAsia" w:eastAsiaTheme="minorEastAsia"/>
          <w:sz w:val="21"/>
          <w:szCs w:val="21"/>
        </w:rPr>
        <w:t>24.3 代理机构及采购人对未成交供应商不承担解释未成交原因的义务。</w:t>
      </w:r>
    </w:p>
    <w:p w14:paraId="248403AB">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25.代理机构服务费</w:t>
      </w:r>
    </w:p>
    <w:tbl>
      <w:tblPr>
        <w:tblStyle w:val="2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9"/>
        <w:gridCol w:w="3721"/>
      </w:tblGrid>
      <w:tr w14:paraId="2890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16" w:type="pct"/>
          </w:tcPr>
          <w:p w14:paraId="6146D771">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中标金额</w:t>
            </w:r>
          </w:p>
        </w:tc>
        <w:tc>
          <w:tcPr>
            <w:tcW w:w="2183" w:type="pct"/>
            <w:vAlign w:val="center"/>
          </w:tcPr>
          <w:p w14:paraId="17B125DE">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服务费金额</w:t>
            </w:r>
          </w:p>
        </w:tc>
      </w:tr>
      <w:tr w14:paraId="33FCE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6" w:type="pct"/>
          </w:tcPr>
          <w:p w14:paraId="67BC19C8">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rPr>
              <w:t>10万元（不含）以下</w:t>
            </w:r>
          </w:p>
        </w:tc>
        <w:tc>
          <w:tcPr>
            <w:tcW w:w="2183" w:type="pct"/>
          </w:tcPr>
          <w:p w14:paraId="2676C209">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rPr>
              <w:t>1000</w:t>
            </w:r>
            <w:r>
              <w:rPr>
                <w:rFonts w:hint="eastAsia" w:asciiTheme="minorEastAsia" w:hAnsiTheme="minorEastAsia" w:eastAsiaTheme="minorEastAsia" w:cstheme="minorEastAsia"/>
                <w:bCs/>
                <w:szCs w:val="21"/>
              </w:rPr>
              <w:t>元</w:t>
            </w:r>
          </w:p>
        </w:tc>
      </w:tr>
      <w:tr w14:paraId="265B1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6" w:type="pct"/>
          </w:tcPr>
          <w:p w14:paraId="68C2AA1E">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rPr>
              <w:t>10万元（含）至20万元（不含）</w:t>
            </w:r>
          </w:p>
        </w:tc>
        <w:tc>
          <w:tcPr>
            <w:tcW w:w="2183" w:type="pct"/>
          </w:tcPr>
          <w:p w14:paraId="7259814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rPr>
              <w:t>1500</w:t>
            </w:r>
            <w:r>
              <w:rPr>
                <w:rFonts w:hint="eastAsia" w:asciiTheme="minorEastAsia" w:hAnsiTheme="minorEastAsia" w:eastAsiaTheme="minorEastAsia" w:cstheme="minorEastAsia"/>
                <w:bCs/>
                <w:szCs w:val="21"/>
              </w:rPr>
              <w:t>元</w:t>
            </w:r>
          </w:p>
        </w:tc>
      </w:tr>
      <w:tr w14:paraId="2F409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6" w:type="pct"/>
          </w:tcPr>
          <w:p w14:paraId="319572D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rPr>
              <w:t>20万元（含）至30万元（不含）</w:t>
            </w:r>
          </w:p>
        </w:tc>
        <w:tc>
          <w:tcPr>
            <w:tcW w:w="2183" w:type="pct"/>
          </w:tcPr>
          <w:p w14:paraId="73AA52E2">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rPr>
              <w:t>2000</w:t>
            </w:r>
            <w:r>
              <w:rPr>
                <w:rFonts w:hint="eastAsia" w:asciiTheme="minorEastAsia" w:hAnsiTheme="minorEastAsia" w:eastAsiaTheme="minorEastAsia" w:cstheme="minorEastAsia"/>
                <w:bCs/>
                <w:szCs w:val="21"/>
              </w:rPr>
              <w:t>元</w:t>
            </w:r>
          </w:p>
        </w:tc>
      </w:tr>
    </w:tbl>
    <w:p w14:paraId="5EE92C0B">
      <w:pPr>
        <w:spacing w:line="360" w:lineRule="exact"/>
        <w:ind w:firstLine="422" w:firstLineChars="200"/>
        <w:jc w:val="left"/>
        <w:rPr>
          <w:rFonts w:ascii="宋体" w:hAnsi="宋体" w:cs="宋体"/>
          <w:b/>
          <w:szCs w:val="21"/>
        </w:rPr>
      </w:pPr>
      <w:r>
        <w:rPr>
          <w:rFonts w:hint="eastAsia" w:ascii="宋体" w:hAnsi="宋体" w:cs="宋体"/>
          <w:b/>
          <w:szCs w:val="21"/>
        </w:rPr>
        <w:t>服务费按照上述标准收取并</w:t>
      </w:r>
      <w:r>
        <w:rPr>
          <w:rFonts w:ascii="宋体" w:hAnsi="宋体" w:cs="宋体"/>
          <w:b/>
          <w:szCs w:val="21"/>
        </w:rPr>
        <w:t>由成交供应商承担</w:t>
      </w:r>
      <w:r>
        <w:rPr>
          <w:rFonts w:hint="eastAsia" w:ascii="宋体" w:hAnsi="宋体" w:cs="宋体"/>
          <w:b/>
          <w:szCs w:val="21"/>
        </w:rPr>
        <w:t>，成交供应商应在领取成交通知书时将代理机构服务费付至常州市城投建设工程招标有限公司账户。</w:t>
      </w:r>
    </w:p>
    <w:p w14:paraId="4CD54ACA">
      <w:pPr>
        <w:spacing w:line="360" w:lineRule="exact"/>
        <w:ind w:firstLine="420" w:firstLineChars="200"/>
        <w:jc w:val="left"/>
        <w:rPr>
          <w:rFonts w:ascii="宋体" w:hAnsi="宋体" w:cs="宋体"/>
          <w:bCs/>
          <w:szCs w:val="21"/>
        </w:rPr>
      </w:pPr>
      <w:r>
        <w:rPr>
          <w:rFonts w:hint="eastAsia" w:ascii="宋体" w:hAnsi="宋体" w:cs="宋体"/>
          <w:bCs/>
          <w:szCs w:val="21"/>
        </w:rPr>
        <w:t>收款单位：常州市城投建设工程招标有限公司</w:t>
      </w:r>
    </w:p>
    <w:p w14:paraId="765D1C96">
      <w:pPr>
        <w:spacing w:line="360" w:lineRule="exact"/>
        <w:ind w:firstLine="420" w:firstLineChars="200"/>
        <w:jc w:val="left"/>
        <w:rPr>
          <w:rFonts w:ascii="宋体" w:hAnsi="宋体" w:cs="宋体"/>
          <w:bCs/>
          <w:szCs w:val="21"/>
        </w:rPr>
      </w:pPr>
      <w:r>
        <w:rPr>
          <w:rFonts w:hint="eastAsia" w:ascii="宋体" w:hAnsi="宋体" w:cs="宋体"/>
          <w:bCs/>
          <w:szCs w:val="21"/>
        </w:rPr>
        <w:t>开户银行：中国建设银行常州大成苑支行</w:t>
      </w:r>
    </w:p>
    <w:p w14:paraId="51493310">
      <w:pPr>
        <w:spacing w:line="360" w:lineRule="exact"/>
        <w:ind w:firstLine="420" w:firstLineChars="200"/>
        <w:jc w:val="left"/>
        <w:rPr>
          <w:rFonts w:hint="eastAsia" w:ascii="宋体" w:hAnsi="宋体" w:cs="宋体"/>
          <w:bCs/>
          <w:szCs w:val="21"/>
        </w:rPr>
      </w:pPr>
      <w:r>
        <w:rPr>
          <w:rFonts w:hint="eastAsia" w:ascii="宋体" w:hAnsi="宋体" w:cs="宋体"/>
          <w:bCs/>
          <w:szCs w:val="21"/>
        </w:rPr>
        <w:t>银行账号：32001624236052500905</w:t>
      </w:r>
    </w:p>
    <w:p w14:paraId="12745E4F">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26.合同的签订</w:t>
      </w:r>
    </w:p>
    <w:p w14:paraId="7C23DCBD">
      <w:pPr>
        <w:spacing w:line="360" w:lineRule="exact"/>
        <w:ind w:firstLine="420" w:firstLineChars="200"/>
        <w:rPr>
          <w:rFonts w:cs="宋体" w:asciiTheme="minorEastAsia" w:hAnsiTheme="minorEastAsia" w:eastAsiaTheme="minorEastAsia"/>
          <w:color w:val="FF0000"/>
          <w:szCs w:val="21"/>
        </w:rPr>
      </w:pPr>
      <w:r>
        <w:rPr>
          <w:rFonts w:hint="eastAsia" w:cs="宋体" w:asciiTheme="minorEastAsia" w:hAnsiTheme="minorEastAsia" w:eastAsiaTheme="minorEastAsia"/>
          <w:color w:val="auto"/>
          <w:szCs w:val="21"/>
        </w:rPr>
        <w:t>26.1 成交供应商应在成交通知书发出之日起三十日内与采购人签订合同，由此</w:t>
      </w:r>
      <w:r>
        <w:rPr>
          <w:rFonts w:hint="eastAsia" w:cs="宋体" w:asciiTheme="minorEastAsia" w:hAnsiTheme="minorEastAsia" w:eastAsiaTheme="minorEastAsia"/>
          <w:szCs w:val="21"/>
        </w:rPr>
        <w:t>给采购人造成损失的，成交供应商还应承担赔偿责任。</w:t>
      </w:r>
    </w:p>
    <w:p w14:paraId="7E251ADD">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26.2磋商文件、成交供应商的磋商响应文件及磋商过程中有关澄清、承诺文件均应作为合同附件。</w:t>
      </w:r>
    </w:p>
    <w:p w14:paraId="6277022E">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26.3 签订合同后，成交供应商不得将相关服务进行转包。未经采购人同意，成交供应商也不得采用分包的形式履行合同，否则采购人有权终止合同，成交供应商的履约保证金将不予退还。转包或分包造成采购人损失的，成交供应商应承担相应赔偿责任。</w:t>
      </w:r>
    </w:p>
    <w:p w14:paraId="1D08BF64">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26.4 成交供应商因不可抗力导致无法按期签订合同的，应当在不可抗力发生之日起5日内提出，并提供书面证据，采购人及成交供应商互不承担任何责任及损失。如成交供应商无正当理由未按期签订合同的，视为自动放弃成交资格，采购人有权追究其违约责任，同时采购人</w:t>
      </w:r>
      <w:r>
        <w:rPr>
          <w:rFonts w:hint="eastAsia" w:cs="宋体" w:asciiTheme="minorEastAsia" w:hAnsiTheme="minorEastAsia" w:eastAsiaTheme="minorEastAsia"/>
          <w:color w:val="333333"/>
          <w:szCs w:val="21"/>
          <w:shd w:val="clear" w:color="auto" w:fill="FFFFFF"/>
        </w:rPr>
        <w:t>可以按照评审报告推荐的成交候选人名单排序，确定下一候选人为成交供应商，也可</w:t>
      </w:r>
      <w:r>
        <w:rPr>
          <w:rFonts w:hint="eastAsia" w:cs="宋体" w:asciiTheme="minorEastAsia" w:hAnsiTheme="minorEastAsia" w:eastAsiaTheme="minorEastAsia"/>
          <w:szCs w:val="21"/>
          <w:shd w:val="clear" w:color="auto" w:fill="FFFFFF"/>
        </w:rPr>
        <w:t>以重新开展采购活动。</w:t>
      </w:r>
    </w:p>
    <w:p w14:paraId="4ABA7939">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26.5合同履行中，采购人需追加与合同标的相同的货物或服务的，在不改变合同其他条款的前提下，可以与成交供应商协商签订补充合同，但所有补充合同的采购金额不超过原合同金额10%。</w:t>
      </w:r>
    </w:p>
    <w:p w14:paraId="5E75C30F">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27. 诚实信用</w:t>
      </w:r>
    </w:p>
    <w:p w14:paraId="666973BC">
      <w:pPr>
        <w:snapToGrid w:val="0"/>
        <w:spacing w:line="360" w:lineRule="exact"/>
        <w:ind w:firstLine="420" w:firstLineChars="200"/>
        <w:rPr>
          <w:rFonts w:ascii="宋体" w:hAnsi="宋体" w:cs="宋体"/>
          <w:szCs w:val="21"/>
        </w:rPr>
      </w:pPr>
      <w:r>
        <w:rPr>
          <w:rFonts w:hint="eastAsia" w:ascii="宋体" w:hAnsi="宋体" w:cs="宋体"/>
          <w:szCs w:val="21"/>
        </w:rPr>
        <w:t>若有充分证据证明，成交供应商出现下列情况之一的，一经查实，将被取消成交资格：</w:t>
      </w:r>
    </w:p>
    <w:p w14:paraId="438FE5E4">
      <w:pPr>
        <w:snapToGrid w:val="0"/>
        <w:spacing w:line="360" w:lineRule="exact"/>
        <w:ind w:firstLine="420" w:firstLineChars="200"/>
        <w:rPr>
          <w:rFonts w:ascii="宋体" w:hAnsi="宋体" w:cs="宋体"/>
          <w:szCs w:val="21"/>
        </w:rPr>
      </w:pPr>
      <w:r>
        <w:rPr>
          <w:rFonts w:hint="eastAsia" w:ascii="宋体" w:hAnsi="宋体" w:cs="宋体"/>
          <w:szCs w:val="21"/>
        </w:rPr>
        <w:t>27.1 提供虚假材料谋取成交的；</w:t>
      </w:r>
    </w:p>
    <w:p w14:paraId="365A0B89">
      <w:pPr>
        <w:snapToGrid w:val="0"/>
        <w:spacing w:line="360" w:lineRule="exact"/>
        <w:ind w:firstLine="420" w:firstLineChars="200"/>
        <w:rPr>
          <w:rFonts w:ascii="宋体" w:hAnsi="宋体" w:cs="宋体"/>
          <w:szCs w:val="21"/>
        </w:rPr>
      </w:pPr>
      <w:r>
        <w:rPr>
          <w:rFonts w:hint="eastAsia" w:ascii="宋体" w:hAnsi="宋体" w:cs="宋体"/>
          <w:szCs w:val="21"/>
        </w:rPr>
        <w:t>27.2 向采购人、代理机构行贿或者提供其他不正当利益的。</w:t>
      </w:r>
    </w:p>
    <w:p w14:paraId="4F1695F0">
      <w:pPr>
        <w:snapToGrid w:val="0"/>
        <w:spacing w:line="360" w:lineRule="exact"/>
        <w:ind w:firstLine="420" w:firstLineChars="200"/>
        <w:rPr>
          <w:rFonts w:ascii="宋体" w:hAnsi="宋体" w:cs="宋体"/>
          <w:szCs w:val="21"/>
        </w:rPr>
      </w:pPr>
      <w:r>
        <w:rPr>
          <w:rFonts w:hint="eastAsia" w:ascii="宋体" w:hAnsi="宋体" w:cs="宋体"/>
          <w:szCs w:val="21"/>
        </w:rPr>
        <w:t>27.3 恶意竞争，磋商总报价明显低于其自身合理成本且又无法提供证明的。</w:t>
      </w:r>
    </w:p>
    <w:p w14:paraId="3CCBC17D">
      <w:pPr>
        <w:snapToGrid w:val="0"/>
        <w:spacing w:line="360" w:lineRule="exact"/>
        <w:ind w:firstLine="420" w:firstLineChars="200"/>
        <w:rPr>
          <w:rFonts w:ascii="宋体" w:hAnsi="宋体" w:cs="宋体"/>
          <w:szCs w:val="21"/>
        </w:rPr>
      </w:pPr>
      <w:r>
        <w:rPr>
          <w:rFonts w:hint="eastAsia" w:ascii="宋体" w:hAnsi="宋体" w:cs="宋体"/>
          <w:szCs w:val="21"/>
        </w:rPr>
        <w:t>27.4 属于本文件规定的无效条件，但在评审过程中又未被磋商小组发现的。</w:t>
      </w:r>
    </w:p>
    <w:p w14:paraId="3DB3457A">
      <w:pPr>
        <w:snapToGrid w:val="0"/>
        <w:spacing w:line="360" w:lineRule="exact"/>
        <w:ind w:firstLine="420" w:firstLineChars="200"/>
        <w:rPr>
          <w:rFonts w:ascii="宋体" w:hAnsi="宋体" w:cs="宋体"/>
          <w:szCs w:val="21"/>
        </w:rPr>
      </w:pPr>
      <w:r>
        <w:rPr>
          <w:rFonts w:hint="eastAsia" w:ascii="宋体" w:hAnsi="宋体" w:cs="宋体"/>
          <w:szCs w:val="21"/>
        </w:rPr>
        <w:t>27.5 与采购人或者其他供应商恶意串通的。</w:t>
      </w:r>
    </w:p>
    <w:p w14:paraId="7F25EC1B">
      <w:pPr>
        <w:snapToGrid w:val="0"/>
        <w:spacing w:line="360" w:lineRule="exact"/>
        <w:ind w:firstLine="420" w:firstLineChars="200"/>
        <w:rPr>
          <w:rFonts w:ascii="宋体" w:hAnsi="宋体" w:cs="宋体"/>
          <w:szCs w:val="21"/>
        </w:rPr>
      </w:pPr>
      <w:r>
        <w:rPr>
          <w:rFonts w:hint="eastAsia" w:ascii="宋体" w:hAnsi="宋体" w:cs="宋体"/>
          <w:szCs w:val="21"/>
        </w:rPr>
        <w:t>27.6 采取不正当手段诋毁、排挤其他供应商的。</w:t>
      </w:r>
    </w:p>
    <w:p w14:paraId="16E68C26">
      <w:pPr>
        <w:pStyle w:val="5"/>
        <w:overflowPunct w:val="0"/>
        <w:spacing w:line="360" w:lineRule="exact"/>
        <w:ind w:firstLineChars="200"/>
        <w:rPr>
          <w:rFonts w:hAnsi="宋体" w:cs="宋体"/>
          <w:sz w:val="21"/>
          <w:szCs w:val="21"/>
        </w:rPr>
      </w:pPr>
      <w:r>
        <w:rPr>
          <w:rFonts w:hint="eastAsia" w:hAnsi="宋体" w:cs="宋体"/>
          <w:sz w:val="21"/>
          <w:szCs w:val="21"/>
        </w:rPr>
        <w:t>27.7 不符合法律、法规的规定的。</w:t>
      </w:r>
    </w:p>
    <w:p w14:paraId="0D4D0600">
      <w:pPr>
        <w:spacing w:line="360" w:lineRule="exact"/>
        <w:ind w:firstLine="420" w:firstLineChars="200"/>
        <w:rPr>
          <w:rFonts w:ascii="宋体" w:hAnsi="宋体" w:cs="宋体"/>
          <w:szCs w:val="21"/>
        </w:rPr>
      </w:pPr>
    </w:p>
    <w:p w14:paraId="124C967E">
      <w:pPr>
        <w:spacing w:line="360" w:lineRule="exact"/>
        <w:ind w:firstLine="420" w:firstLineChars="200"/>
        <w:rPr>
          <w:rFonts w:ascii="宋体" w:hAnsi="宋体" w:cs="宋体"/>
          <w:szCs w:val="21"/>
        </w:rPr>
      </w:pPr>
    </w:p>
    <w:p w14:paraId="0B138542">
      <w:pPr>
        <w:spacing w:line="360" w:lineRule="exact"/>
        <w:ind w:firstLine="420" w:firstLineChars="200"/>
        <w:rPr>
          <w:rFonts w:ascii="宋体" w:hAnsi="宋体" w:cs="宋体"/>
          <w:szCs w:val="21"/>
        </w:rPr>
        <w:sectPr>
          <w:headerReference r:id="rId5" w:type="first"/>
          <w:headerReference r:id="rId3" w:type="default"/>
          <w:footerReference r:id="rId6" w:type="default"/>
          <w:headerReference r:id="rId4" w:type="even"/>
          <w:pgSz w:w="11906" w:h="16838"/>
          <w:pgMar w:top="1440" w:right="1800" w:bottom="1440" w:left="1800" w:header="851" w:footer="992" w:gutter="0"/>
          <w:pgNumType w:start="1"/>
          <w:cols w:space="720" w:num="1"/>
          <w:docGrid w:type="lines" w:linePitch="312" w:charSpace="0"/>
        </w:sectPr>
      </w:pPr>
    </w:p>
    <w:p w14:paraId="041C9D0B">
      <w:pPr>
        <w:pStyle w:val="2"/>
        <w:rPr>
          <w:rFonts w:ascii="宋体" w:hAnsi="宋体" w:cs="宋体"/>
        </w:rPr>
      </w:pPr>
      <w:bookmarkStart w:id="2" w:name="_Toc17537928"/>
      <w:r>
        <w:rPr>
          <w:rFonts w:hint="eastAsia" w:ascii="宋体" w:hAnsi="宋体" w:cs="宋体"/>
        </w:rPr>
        <w:t>第二章  采购项目及技术要求</w:t>
      </w:r>
      <w:bookmarkEnd w:id="2"/>
    </w:p>
    <w:p w14:paraId="479609DB">
      <w:pPr>
        <w:snapToGrid w:val="0"/>
        <w:spacing w:line="360" w:lineRule="exact"/>
        <w:ind w:firstLine="422" w:firstLineChars="200"/>
        <w:rPr>
          <w:rFonts w:ascii="宋体" w:hAnsi="宋体" w:cs="宋体"/>
          <w:b/>
          <w:szCs w:val="21"/>
        </w:rPr>
      </w:pPr>
      <w:r>
        <w:rPr>
          <w:rFonts w:hint="eastAsia" w:ascii="宋体" w:hAnsi="宋体" w:cs="宋体"/>
          <w:b/>
          <w:bCs/>
          <w:szCs w:val="21"/>
        </w:rPr>
        <w:t>一、</w:t>
      </w:r>
      <w:r>
        <w:rPr>
          <w:rFonts w:hint="eastAsia" w:ascii="宋体" w:hAnsi="宋体" w:cs="宋体"/>
          <w:b/>
          <w:szCs w:val="21"/>
        </w:rPr>
        <w:t>采购内容及要求</w:t>
      </w:r>
    </w:p>
    <w:p w14:paraId="5CB087BA">
      <w:pPr>
        <w:tabs>
          <w:tab w:val="left" w:pos="284"/>
        </w:tabs>
        <w:adjustRightInd w:val="0"/>
        <w:snapToGrid w:val="0"/>
        <w:spacing w:line="360" w:lineRule="auto"/>
        <w:ind w:firstLine="422" w:firstLineChars="200"/>
        <w:jc w:val="left"/>
        <w:rPr>
          <w:rFonts w:ascii="宋体" w:hAnsi="宋体" w:cs="宋体"/>
          <w:b/>
          <w:bCs/>
          <w:szCs w:val="21"/>
        </w:rPr>
      </w:pPr>
      <w:r>
        <w:rPr>
          <w:rFonts w:hint="eastAsia" w:ascii="宋体" w:hAnsi="宋体" w:cs="宋体"/>
          <w:b/>
          <w:bCs/>
          <w:szCs w:val="21"/>
        </w:rPr>
        <w:t>（一）项目概况</w:t>
      </w:r>
    </w:p>
    <w:p w14:paraId="6F425741">
      <w:pPr>
        <w:adjustRightInd w:val="0"/>
        <w:snapToGrid w:val="0"/>
        <w:spacing w:line="360"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因历史原因无法补办房屋竣工验收备案的</w:t>
      </w:r>
      <w:r>
        <w:rPr>
          <w:rFonts w:hint="eastAsia" w:ascii="宋体" w:hAnsi="宋体" w:cs="宋体"/>
        </w:rPr>
        <w:t>天宁分局主楼和辅楼</w:t>
      </w:r>
      <w:r>
        <w:rPr>
          <w:rFonts w:hint="eastAsia" w:ascii="宋体" w:hAnsi="宋体" w:cs="宋体"/>
          <w:szCs w:val="21"/>
          <w:shd w:val="clear" w:color="auto" w:fill="FFFFFF"/>
        </w:rPr>
        <w:t>委托相关单位对工程实体进行测绘和检测，复原出真实反应实体现状的设计文件，对复原出的设计文件对照工程项目建设时的建筑、结构、给排水、电气、暖通（含消防相关内容，包括消防评估报告）等的技术标准，出具符合技术标准的鉴定报告（用于房产产权的办理）等服务。</w:t>
      </w:r>
    </w:p>
    <w:p w14:paraId="37DEC4A4">
      <w:pPr>
        <w:tabs>
          <w:tab w:val="left" w:pos="284"/>
        </w:tabs>
        <w:adjustRightInd w:val="0"/>
        <w:snapToGrid w:val="0"/>
        <w:spacing w:line="360" w:lineRule="auto"/>
        <w:ind w:firstLine="422" w:firstLineChars="200"/>
        <w:jc w:val="left"/>
        <w:rPr>
          <w:rFonts w:ascii="宋体" w:hAnsi="宋体" w:cs="宋体"/>
          <w:b/>
          <w:bCs/>
          <w:szCs w:val="21"/>
        </w:rPr>
      </w:pPr>
      <w:r>
        <w:rPr>
          <w:rFonts w:hint="eastAsia" w:ascii="宋体" w:hAnsi="宋体" w:cs="宋体"/>
          <w:b/>
          <w:bCs/>
          <w:szCs w:val="21"/>
        </w:rPr>
        <w:t>（二）检测内容</w:t>
      </w:r>
    </w:p>
    <w:p w14:paraId="0445C95C">
      <w:pPr>
        <w:adjustRightInd w:val="0"/>
        <w:snapToGrid w:val="0"/>
        <w:spacing w:line="360" w:lineRule="auto"/>
        <w:ind w:firstLine="428" w:firstLineChars="200"/>
        <w:jc w:val="left"/>
        <w:rPr>
          <w:rFonts w:ascii="宋体" w:hAnsi="宋体" w:cs="宋体"/>
          <w:bCs/>
          <w:spacing w:val="2"/>
          <w:szCs w:val="21"/>
        </w:rPr>
      </w:pPr>
      <w:r>
        <w:rPr>
          <w:rFonts w:hint="eastAsia" w:ascii="宋体" w:hAnsi="宋体" w:cs="宋体"/>
          <w:bCs/>
          <w:spacing w:val="2"/>
          <w:szCs w:val="21"/>
        </w:rPr>
        <w:t>1、建筑物结构体系及绘图</w:t>
      </w:r>
    </w:p>
    <w:p w14:paraId="3F66A6B6">
      <w:pPr>
        <w:adjustRightInd w:val="0"/>
        <w:snapToGrid w:val="0"/>
        <w:spacing w:line="360" w:lineRule="auto"/>
        <w:ind w:firstLine="428" w:firstLineChars="200"/>
        <w:jc w:val="left"/>
        <w:rPr>
          <w:rFonts w:ascii="宋体" w:hAnsi="宋体" w:cs="宋体"/>
          <w:bCs/>
          <w:spacing w:val="2"/>
          <w:szCs w:val="21"/>
        </w:rPr>
      </w:pPr>
      <w:r>
        <w:rPr>
          <w:rFonts w:hint="eastAsia" w:ascii="宋体" w:hAnsi="宋体" w:cs="宋体"/>
          <w:bCs/>
          <w:spacing w:val="2"/>
          <w:szCs w:val="21"/>
        </w:rPr>
        <w:t>对该区域的平面结构做法、轴线位置及间距、主要构件平面布置、截面尺寸、连接构造、层高、屋面等进行详细检查，如与图纸不符，绘制不符处建筑结构工程现状图。</w:t>
      </w:r>
    </w:p>
    <w:p w14:paraId="2A9A945F">
      <w:pPr>
        <w:adjustRightInd w:val="0"/>
        <w:snapToGrid w:val="0"/>
        <w:spacing w:line="360" w:lineRule="auto"/>
        <w:ind w:firstLine="428" w:firstLineChars="200"/>
        <w:jc w:val="left"/>
        <w:rPr>
          <w:rFonts w:ascii="宋体" w:hAnsi="宋体" w:cs="宋体"/>
          <w:bCs/>
          <w:spacing w:val="2"/>
          <w:szCs w:val="21"/>
        </w:rPr>
      </w:pPr>
      <w:r>
        <w:rPr>
          <w:rFonts w:hint="eastAsia" w:ascii="宋体" w:hAnsi="宋体" w:cs="宋体"/>
          <w:bCs/>
          <w:spacing w:val="2"/>
          <w:szCs w:val="21"/>
        </w:rPr>
        <w:t>2、外观质量缺陷及损伤检查</w:t>
      </w:r>
    </w:p>
    <w:p w14:paraId="2D723D38">
      <w:pPr>
        <w:adjustRightInd w:val="0"/>
        <w:snapToGrid w:val="0"/>
        <w:spacing w:line="360" w:lineRule="auto"/>
        <w:ind w:firstLine="428" w:firstLineChars="200"/>
        <w:jc w:val="left"/>
        <w:rPr>
          <w:rFonts w:ascii="宋体" w:hAnsi="宋体" w:cs="宋体"/>
          <w:bCs/>
          <w:spacing w:val="2"/>
          <w:szCs w:val="21"/>
        </w:rPr>
      </w:pPr>
      <w:r>
        <w:rPr>
          <w:rFonts w:hint="eastAsia" w:ascii="宋体" w:hAnsi="宋体" w:cs="宋体"/>
          <w:bCs/>
          <w:spacing w:val="2"/>
          <w:szCs w:val="21"/>
        </w:rPr>
        <w:t>3、材料强度</w:t>
      </w:r>
    </w:p>
    <w:p w14:paraId="41A4BAF0">
      <w:pPr>
        <w:adjustRightInd w:val="0"/>
        <w:snapToGrid w:val="0"/>
        <w:spacing w:line="360" w:lineRule="auto"/>
        <w:ind w:firstLine="428" w:firstLineChars="200"/>
        <w:jc w:val="left"/>
        <w:rPr>
          <w:rFonts w:ascii="宋体" w:hAnsi="宋体" w:cs="宋体"/>
          <w:bCs/>
          <w:spacing w:val="2"/>
          <w:szCs w:val="21"/>
        </w:rPr>
      </w:pPr>
      <w:r>
        <w:rPr>
          <w:rFonts w:hint="eastAsia" w:ascii="宋体" w:hAnsi="宋体" w:cs="宋体"/>
          <w:bCs/>
          <w:spacing w:val="2"/>
          <w:szCs w:val="21"/>
        </w:rPr>
        <w:t>4、构件尺寸</w:t>
      </w:r>
    </w:p>
    <w:p w14:paraId="71F281A2">
      <w:pPr>
        <w:adjustRightInd w:val="0"/>
        <w:snapToGrid w:val="0"/>
        <w:spacing w:line="360" w:lineRule="auto"/>
        <w:ind w:firstLine="428" w:firstLineChars="200"/>
        <w:jc w:val="left"/>
        <w:rPr>
          <w:rFonts w:ascii="宋体" w:hAnsi="宋体" w:cs="宋体"/>
          <w:bCs/>
          <w:spacing w:val="2"/>
          <w:szCs w:val="21"/>
        </w:rPr>
      </w:pPr>
      <w:r>
        <w:rPr>
          <w:rFonts w:hint="eastAsia" w:ascii="宋体" w:hAnsi="宋体" w:cs="宋体"/>
          <w:bCs/>
          <w:spacing w:val="2"/>
          <w:szCs w:val="21"/>
        </w:rPr>
        <w:t>5、钢筋配置</w:t>
      </w:r>
    </w:p>
    <w:p w14:paraId="6DBA4C62">
      <w:pPr>
        <w:adjustRightInd w:val="0"/>
        <w:snapToGrid w:val="0"/>
        <w:spacing w:line="360" w:lineRule="auto"/>
        <w:ind w:firstLine="428" w:firstLineChars="200"/>
        <w:jc w:val="left"/>
        <w:rPr>
          <w:rFonts w:ascii="宋体" w:hAnsi="宋体" w:cs="宋体"/>
          <w:bCs/>
          <w:spacing w:val="2"/>
          <w:szCs w:val="21"/>
        </w:rPr>
      </w:pPr>
      <w:r>
        <w:rPr>
          <w:rFonts w:hint="eastAsia" w:ascii="宋体" w:hAnsi="宋体" w:cs="宋体"/>
          <w:bCs/>
          <w:spacing w:val="2"/>
          <w:szCs w:val="21"/>
        </w:rPr>
        <w:t>6、房屋垂直度。</w:t>
      </w:r>
    </w:p>
    <w:p w14:paraId="5BE8E40F">
      <w:pPr>
        <w:adjustRightInd w:val="0"/>
        <w:snapToGrid w:val="0"/>
        <w:spacing w:line="360" w:lineRule="auto"/>
        <w:ind w:firstLine="428" w:firstLineChars="200"/>
        <w:jc w:val="left"/>
        <w:rPr>
          <w:rFonts w:ascii="宋体" w:hAnsi="宋体" w:cs="宋体"/>
          <w:bCs/>
          <w:spacing w:val="2"/>
          <w:szCs w:val="21"/>
        </w:rPr>
      </w:pPr>
      <w:r>
        <w:rPr>
          <w:rFonts w:hint="eastAsia" w:ascii="宋体" w:hAnsi="宋体" w:cs="宋体"/>
          <w:bCs/>
          <w:spacing w:val="2"/>
          <w:szCs w:val="21"/>
        </w:rPr>
        <w:t>7、未明确处按相关规范要求</w:t>
      </w:r>
    </w:p>
    <w:p w14:paraId="78B63144">
      <w:pPr>
        <w:adjustRightInd w:val="0"/>
        <w:snapToGrid w:val="0"/>
        <w:spacing w:line="360" w:lineRule="auto"/>
        <w:ind w:firstLine="428" w:firstLineChars="200"/>
        <w:jc w:val="left"/>
        <w:rPr>
          <w:rFonts w:ascii="宋体" w:hAnsi="宋体" w:cs="宋体"/>
          <w:bCs/>
          <w:spacing w:val="2"/>
          <w:szCs w:val="21"/>
        </w:rPr>
      </w:pPr>
      <w:r>
        <w:rPr>
          <w:rFonts w:hint="eastAsia" w:ascii="宋体" w:hAnsi="宋体" w:cs="宋体"/>
          <w:bCs/>
          <w:spacing w:val="2"/>
          <w:szCs w:val="21"/>
        </w:rPr>
        <w:t xml:space="preserve">根据现场检测结果，出具相关检测报告。 </w:t>
      </w:r>
    </w:p>
    <w:p w14:paraId="58633307">
      <w:pPr>
        <w:adjustRightInd w:val="0"/>
        <w:snapToGrid w:val="0"/>
        <w:spacing w:line="360" w:lineRule="auto"/>
        <w:ind w:firstLine="422" w:firstLineChars="200"/>
        <w:jc w:val="left"/>
        <w:rPr>
          <w:rFonts w:ascii="宋体" w:hAnsi="宋体" w:cs="宋体"/>
          <w:b/>
          <w:bCs/>
          <w:szCs w:val="21"/>
        </w:rPr>
      </w:pPr>
      <w:r>
        <w:rPr>
          <w:rFonts w:hint="eastAsia" w:ascii="宋体" w:hAnsi="宋体" w:cs="宋体"/>
          <w:b/>
          <w:bCs/>
          <w:szCs w:val="21"/>
        </w:rPr>
        <w:t>（三）消防评估</w:t>
      </w:r>
    </w:p>
    <w:p w14:paraId="016ABD4C">
      <w:pPr>
        <w:adjustRightInd w:val="0"/>
        <w:snapToGrid w:val="0"/>
        <w:spacing w:line="360" w:lineRule="auto"/>
        <w:ind w:firstLine="420" w:firstLineChars="200"/>
        <w:jc w:val="left"/>
        <w:rPr>
          <w:rFonts w:ascii="宋体" w:hAnsi="宋体" w:cs="宋体"/>
          <w:bCs/>
          <w:szCs w:val="21"/>
        </w:rPr>
      </w:pPr>
      <w:r>
        <w:rPr>
          <w:rFonts w:hint="eastAsia" w:ascii="宋体" w:hAnsi="宋体" w:cs="宋体"/>
          <w:bCs/>
          <w:szCs w:val="21"/>
        </w:rPr>
        <w:t>根据现状建筑布置，对照原设计图纸进行消防评估，检测消防设施是否到位，消防通道等是否符合当时规范等，如与图纸不符，出具消防评估意见及整改方案，待招标人整改到位，出具正式消防评估报告。</w:t>
      </w:r>
    </w:p>
    <w:p w14:paraId="1CAF6F00">
      <w:pPr>
        <w:adjustRightInd w:val="0"/>
        <w:snapToGrid w:val="0"/>
        <w:spacing w:line="360" w:lineRule="auto"/>
        <w:ind w:firstLine="422" w:firstLineChars="200"/>
        <w:jc w:val="left"/>
        <w:rPr>
          <w:rFonts w:ascii="宋体" w:hAnsi="宋体" w:cs="宋体"/>
          <w:b/>
          <w:bCs/>
          <w:szCs w:val="21"/>
        </w:rPr>
      </w:pPr>
      <w:r>
        <w:rPr>
          <w:rFonts w:hint="eastAsia" w:ascii="宋体" w:hAnsi="宋体" w:cs="宋体"/>
          <w:b/>
          <w:bCs/>
          <w:szCs w:val="21"/>
        </w:rPr>
        <w:t>（四）鉴定内容</w:t>
      </w:r>
    </w:p>
    <w:p w14:paraId="00B03B24">
      <w:pPr>
        <w:tabs>
          <w:tab w:val="left" w:pos="284"/>
        </w:tabs>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1、根据本项目建筑物现状、项目原始图、竣工图、工程竣工验收资料及竣工后第三方检测鉴定报告，依据相关资料文献、规范标准，对其进行结构安全性鉴定，并提供安全性鉴定报告。</w:t>
      </w:r>
    </w:p>
    <w:p w14:paraId="2383E6AB">
      <w:pPr>
        <w:tabs>
          <w:tab w:val="left" w:pos="284"/>
        </w:tabs>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2、鉴定主要内容应包括：</w:t>
      </w:r>
    </w:p>
    <w:p w14:paraId="3BD1573F">
      <w:pPr>
        <w:tabs>
          <w:tab w:val="left" w:pos="284"/>
        </w:tabs>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（1）现场复核：根据建筑竣工图进行现场量测复核结构布置、结构形式、截面尺寸、支承与连接构造、结构材料等；</w:t>
      </w:r>
    </w:p>
    <w:p w14:paraId="6AF3D411">
      <w:pPr>
        <w:tabs>
          <w:tab w:val="left" w:pos="284"/>
        </w:tabs>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（2）结构普查：对结构的现状进行调查，包括结构上的作用，建筑物网内外环境调查；对各种构件的外观缺陷进行逐个检查；</w:t>
      </w:r>
    </w:p>
    <w:p w14:paraId="4ACBDA02">
      <w:pPr>
        <w:tabs>
          <w:tab w:val="left" w:pos="284"/>
        </w:tabs>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（3）收集结构分析所需相关资料：如竣工图、竣工验收资料、修缮前后第三方检测鉴定报告等</w:t>
      </w:r>
    </w:p>
    <w:p w14:paraId="18FB81BB">
      <w:pPr>
        <w:tabs>
          <w:tab w:val="left" w:pos="284"/>
        </w:tabs>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（4）结构检测计算：对受力构件进行复核计算，了解砖、木等结构构件的现状情况；</w:t>
      </w:r>
    </w:p>
    <w:p w14:paraId="0ECAE118">
      <w:pPr>
        <w:tabs>
          <w:tab w:val="left" w:pos="284"/>
        </w:tabs>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（5）对地基基础上部承重结构的承载能力、构造、变形及损伤情况俺早构建进行安全性鉴定评级；</w:t>
      </w:r>
    </w:p>
    <w:p w14:paraId="31FACD53">
      <w:pPr>
        <w:tabs>
          <w:tab w:val="left" w:pos="284"/>
        </w:tabs>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（6）结合测绘、勘察、测试、计算分析结果编制安全性鉴定报告；</w:t>
      </w:r>
    </w:p>
    <w:p w14:paraId="554DEF3E">
      <w:pPr>
        <w:tabs>
          <w:tab w:val="left" w:pos="284"/>
        </w:tabs>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3、质量标准：符合国家规范、规程、地方法规及技术要求。</w:t>
      </w:r>
    </w:p>
    <w:p w14:paraId="1335A947">
      <w:pPr>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4、乙方依据相关现行质量验收规范、现行质检验收规定等相关标准要求以及检测标准实施安全性鉴定服务。</w:t>
      </w:r>
    </w:p>
    <w:p w14:paraId="5B02BF10">
      <w:pPr>
        <w:adjustRightInd w:val="0"/>
        <w:snapToGrid w:val="0"/>
        <w:spacing w:line="360" w:lineRule="auto"/>
        <w:ind w:firstLine="422" w:firstLineChars="200"/>
        <w:jc w:val="left"/>
        <w:rPr>
          <w:rFonts w:ascii="宋体" w:hAnsi="宋体" w:cs="宋体"/>
          <w:szCs w:val="21"/>
        </w:rPr>
      </w:pPr>
      <w:r>
        <w:rPr>
          <w:rFonts w:hint="eastAsia" w:ascii="宋体" w:hAnsi="宋体" w:cs="宋体"/>
          <w:b/>
          <w:bCs/>
          <w:szCs w:val="21"/>
        </w:rPr>
        <w:t>（五）检测要求，包括但不限于：</w:t>
      </w:r>
    </w:p>
    <w:p w14:paraId="76C04D5F">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1.《建筑基桩检测技术规范》JGJ106-2014；</w:t>
      </w:r>
    </w:p>
    <w:p w14:paraId="18ABA0C8">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2.《建筑地基基础设计规范》GB5007-2011；</w:t>
      </w:r>
    </w:p>
    <w:p w14:paraId="078C04C8">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3.《建筑桩基技术规范》JGJ 94-2008；</w:t>
      </w:r>
    </w:p>
    <w:p w14:paraId="29C2631D">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4.《建筑结构检测技术标准》GB/T50344—2019；</w:t>
      </w:r>
    </w:p>
    <w:p w14:paraId="577991DB">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5.《工程测量规范》GB 50026-2020；</w:t>
      </w:r>
    </w:p>
    <w:p w14:paraId="6B6EE079">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6.《建筑变形测量规范》JGJ 8-2016；</w:t>
      </w:r>
    </w:p>
    <w:p w14:paraId="112FE212">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7.《砌体结构工程施工质量验收规范》GB 50203-2011；</w:t>
      </w:r>
    </w:p>
    <w:p w14:paraId="086DB8A6">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8.《砌体工程现场检测技术标准》GB/T 50315-2011；</w:t>
      </w:r>
    </w:p>
    <w:p w14:paraId="4E90EFC3">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10.《混凝土中钢筋检测技术标准》JGJ/T152-2019；</w:t>
      </w:r>
    </w:p>
    <w:p w14:paraId="0663E399">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11.《钻芯法检测混凝土强度技术规程》JGJ/T384-2016；</w:t>
      </w:r>
    </w:p>
    <w:p w14:paraId="2F132633">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12.《混凝土结构工程施工质量验收规范》GB50204-2015；</w:t>
      </w:r>
    </w:p>
    <w:p w14:paraId="42C176BF">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13.《混凝土结构现场检测技术标准》GB/T50784-2013；</w:t>
      </w:r>
    </w:p>
    <w:p w14:paraId="0C8E0403">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14.《钢结构现场检测技术标准》GB/T 50621-2010；</w:t>
      </w:r>
    </w:p>
    <w:p w14:paraId="7539686A">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14.《民用建筑可靠性鉴定标准》GB 50292-2019；</w:t>
      </w:r>
    </w:p>
    <w:p w14:paraId="741759A7">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15.国家及江苏省的其他相关标准。</w:t>
      </w:r>
    </w:p>
    <w:p w14:paraId="21F63EE6">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16.甲方提供的房屋建筑、结构竣工图纸等工程技术资料 (如有)；</w:t>
      </w:r>
    </w:p>
    <w:p w14:paraId="18A45453">
      <w:pPr>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17.工程合同书等。</w:t>
      </w:r>
    </w:p>
    <w:p w14:paraId="1A80B0CD">
      <w:pPr>
        <w:adjustRightInd w:val="0"/>
        <w:snapToGrid w:val="0"/>
        <w:spacing w:line="360" w:lineRule="auto"/>
        <w:ind w:firstLine="420" w:firstLineChars="200"/>
        <w:jc w:val="left"/>
        <w:rPr>
          <w:rFonts w:ascii="宋体" w:hAnsi="宋体" w:cs="宋体"/>
        </w:rPr>
      </w:pPr>
      <w:r>
        <w:rPr>
          <w:rFonts w:hint="eastAsia" w:ascii="宋体" w:hAnsi="宋体" w:cs="宋体"/>
          <w:szCs w:val="21"/>
        </w:rPr>
        <w:t>18.其他要求：乙方必须配备足够的人员、工具，确保在甲方要求的时间内完成鉴定工作。鉴定及检测现场乙方必须保障足够的安全防范措施，符合安全作业要求，保障检测人员及设备的安全，对工作中的安全负全责。乙方须严格按照国家规范、标准进行鉴定，对鉴定结果及所出具的检测鉴定报告的公正性、科学性、规范性、准确性、可靠性负责，对技术数据进行保密，确保检测鉴定结果不对外公开。乙方按要求提供所有检测鉴定服务及鉴定数据，保证数据的准确性和完整性，并对提供数据承担技术责任。</w:t>
      </w:r>
    </w:p>
    <w:p w14:paraId="592D15B2">
      <w:pPr>
        <w:adjustRightInd w:val="0"/>
        <w:snapToGrid w:val="0"/>
        <w:spacing w:line="360" w:lineRule="auto"/>
        <w:ind w:firstLine="422" w:firstLineChars="200"/>
        <w:jc w:val="left"/>
        <w:rPr>
          <w:rFonts w:ascii="宋体" w:hAnsi="宋体" w:cs="宋体"/>
          <w:b/>
          <w:szCs w:val="21"/>
        </w:rPr>
      </w:pPr>
      <w:r>
        <w:rPr>
          <w:rFonts w:hint="eastAsia" w:ascii="宋体" w:hAnsi="宋体" w:cs="宋体"/>
          <w:b/>
          <w:szCs w:val="21"/>
        </w:rPr>
        <w:t>（六）检测流程</w:t>
      </w:r>
    </w:p>
    <w:p w14:paraId="6D731B0B">
      <w:pPr>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1、检测准备工作：合同签订后，甲方提供相关资料，乙方依据相关现行质量验收规范、现行质检验收规定等，制订检测计划和检测方案，报甲方审核确认。</w:t>
      </w:r>
    </w:p>
    <w:p w14:paraId="0ECC0D01">
      <w:pPr>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2、现场检测：乙方向甲方进行检测技术及安全交底，乙方根据检测标准规范操作及记录原始数据；现场检测时甲方需派专人进行现场配合工作。</w:t>
      </w:r>
    </w:p>
    <w:p w14:paraId="0E9CE983">
      <w:pPr>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3、乙方进行原始数据的整理、计算及分析。</w:t>
      </w:r>
    </w:p>
    <w:p w14:paraId="4547304B">
      <w:pPr>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4、乙方根据现场检测数据及计算分析，出具检测报告并将相应的处理建议提交甲方。</w:t>
      </w:r>
    </w:p>
    <w:p w14:paraId="2524C9AC">
      <w:pPr>
        <w:spacing w:line="360" w:lineRule="exact"/>
        <w:ind w:right="210" w:firstLine="422" w:firstLineChars="200"/>
        <w:jc w:val="left"/>
        <w:rPr>
          <w:rFonts w:ascii="宋体" w:hAnsi="宋体" w:cs="宋体"/>
          <w:b/>
          <w:szCs w:val="21"/>
        </w:rPr>
      </w:pPr>
      <w:r>
        <w:rPr>
          <w:rFonts w:hint="eastAsia" w:ascii="宋体" w:hAnsi="宋体" w:cs="宋体"/>
          <w:b/>
          <w:szCs w:val="21"/>
        </w:rPr>
        <w:t>二 、报价方式</w:t>
      </w:r>
    </w:p>
    <w:p w14:paraId="5917C0C6">
      <w:pPr>
        <w:tabs>
          <w:tab w:val="left" w:pos="284"/>
        </w:tabs>
        <w:spacing w:line="360" w:lineRule="exact"/>
        <w:ind w:firstLine="420" w:firstLineChars="200"/>
        <w:rPr>
          <w:rFonts w:ascii="宋体" w:hAnsi="宋体" w:cs="宋体"/>
          <w:color w:val="000000"/>
          <w:szCs w:val="21"/>
        </w:rPr>
      </w:pPr>
      <w:r>
        <w:rPr>
          <w:rFonts w:hint="eastAsia" w:ascii="宋体" w:hAnsi="宋体" w:cs="宋体"/>
          <w:color w:val="000000"/>
          <w:szCs w:val="21"/>
        </w:rPr>
        <w:t>本项目报价为</w:t>
      </w:r>
      <w:r>
        <w:rPr>
          <w:rFonts w:hint="eastAsia" w:ascii="宋体" w:hAnsi="宋体" w:cs="宋体"/>
          <w:b/>
          <w:bCs/>
          <w:szCs w:val="21"/>
          <w:u w:val="single"/>
        </w:rPr>
        <w:t>固定</w:t>
      </w:r>
      <w:r>
        <w:rPr>
          <w:rFonts w:hint="eastAsia" w:ascii="宋体" w:hAnsi="宋体" w:cs="宋体"/>
          <w:b/>
          <w:bCs/>
          <w:color w:val="auto"/>
          <w:szCs w:val="21"/>
          <w:u w:val="single"/>
        </w:rPr>
        <w:t>总价</w:t>
      </w:r>
      <w:r>
        <w:rPr>
          <w:rFonts w:hint="eastAsia" w:ascii="宋体" w:hAnsi="宋体" w:cs="宋体"/>
          <w:color w:val="auto"/>
          <w:szCs w:val="21"/>
        </w:rPr>
        <w:t>，竞</w:t>
      </w:r>
      <w:r>
        <w:rPr>
          <w:rFonts w:hint="eastAsia" w:ascii="宋体" w:hAnsi="宋体" w:cs="宋体"/>
          <w:color w:val="000000"/>
          <w:szCs w:val="21"/>
        </w:rPr>
        <w:t>争性磋商磋商报价应包括竞争性磋商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0AFA5D20">
      <w:pPr>
        <w:tabs>
          <w:tab w:val="left" w:pos="284"/>
        </w:tabs>
        <w:spacing w:line="360" w:lineRule="exact"/>
        <w:ind w:firstLine="420" w:firstLineChars="200"/>
        <w:rPr>
          <w:rFonts w:ascii="宋体" w:hAnsi="宋体" w:cs="宋体"/>
          <w:color w:val="FF0000"/>
          <w:szCs w:val="21"/>
          <w:highlight w:val="none"/>
        </w:rPr>
      </w:pPr>
      <w:r>
        <w:rPr>
          <w:rFonts w:hint="eastAsia" w:ascii="宋体" w:hAnsi="宋体" w:cs="宋体"/>
          <w:color w:val="000000"/>
          <w:szCs w:val="21"/>
        </w:rPr>
        <w:t>报价货币为</w:t>
      </w:r>
      <w:r>
        <w:rPr>
          <w:rFonts w:hint="eastAsia" w:ascii="宋体" w:hAnsi="宋体" w:cs="宋体"/>
          <w:color w:val="000000"/>
          <w:szCs w:val="21"/>
          <w:highlight w:val="none"/>
        </w:rPr>
        <w:t>人民币，评审时以人民币为准。</w:t>
      </w:r>
    </w:p>
    <w:p w14:paraId="1664F446">
      <w:pPr>
        <w:snapToGrid w:val="0"/>
        <w:spacing w:line="320" w:lineRule="exact"/>
        <w:ind w:firstLine="422" w:firstLineChars="200"/>
        <w:rPr>
          <w:rFonts w:ascii="宋体" w:hAnsi="宋体" w:cs="宋体"/>
          <w:szCs w:val="21"/>
          <w:highlight w:val="none"/>
        </w:rPr>
      </w:pPr>
      <w:r>
        <w:rPr>
          <w:rFonts w:hint="eastAsia" w:ascii="宋体" w:hAnsi="宋体" w:cs="宋体"/>
          <w:b/>
          <w:szCs w:val="21"/>
          <w:highlight w:val="none"/>
        </w:rPr>
        <w:t>三、服务期限：在受到招标人项目委托后15日历天内完成所有检测内容并向采购人提交正式检测鉴定报告</w:t>
      </w:r>
    </w:p>
    <w:p w14:paraId="48F07B5A">
      <w:pPr>
        <w:spacing w:line="360" w:lineRule="exact"/>
        <w:ind w:right="210" w:firstLine="422" w:firstLineChars="200"/>
        <w:jc w:val="left"/>
        <w:rPr>
          <w:rFonts w:ascii="宋体" w:hAnsi="宋体" w:cs="宋体"/>
          <w:b/>
          <w:szCs w:val="21"/>
        </w:rPr>
      </w:pPr>
      <w:r>
        <w:rPr>
          <w:rFonts w:hint="eastAsia" w:ascii="宋体" w:hAnsi="宋体" w:cs="宋体"/>
          <w:b/>
          <w:szCs w:val="21"/>
        </w:rPr>
        <w:t>四、付款</w:t>
      </w:r>
    </w:p>
    <w:p w14:paraId="20F0B450">
      <w:pPr>
        <w:spacing w:line="360" w:lineRule="exact"/>
        <w:ind w:firstLine="420" w:firstLineChars="200"/>
        <w:outlineLvl w:val="1"/>
        <w:rPr>
          <w:rFonts w:hint="eastAsia" w:asciiTheme="minorEastAsia" w:hAnsiTheme="minorEastAsia" w:eastAsiaTheme="minorEastAsia" w:cstheme="minorEastAsia"/>
          <w:bCs/>
          <w:color w:val="auto"/>
          <w:szCs w:val="21"/>
          <w:lang w:eastAsia="zh-CN"/>
        </w:rPr>
      </w:pPr>
      <w:r>
        <w:rPr>
          <w:rFonts w:hint="eastAsia" w:asciiTheme="minorEastAsia" w:hAnsiTheme="minorEastAsia" w:eastAsiaTheme="minorEastAsia" w:cstheme="minorEastAsia"/>
          <w:bCs/>
          <w:color w:val="auto"/>
          <w:szCs w:val="21"/>
          <w:lang w:val="en-US" w:eastAsia="zh-CN"/>
        </w:rPr>
        <w:t>1.</w:t>
      </w:r>
      <w:r>
        <w:rPr>
          <w:rFonts w:hint="eastAsia" w:asciiTheme="minorEastAsia" w:hAnsiTheme="minorEastAsia" w:eastAsiaTheme="minorEastAsia" w:cstheme="minorEastAsia"/>
          <w:bCs/>
          <w:color w:val="auto"/>
          <w:szCs w:val="21"/>
        </w:rPr>
        <w:t>相关检测报告和消防评估报告出具并验收合格后，一次性支付所有项目款</w:t>
      </w:r>
      <w:r>
        <w:rPr>
          <w:rFonts w:hint="eastAsia" w:asciiTheme="minorEastAsia" w:hAnsiTheme="minorEastAsia" w:eastAsiaTheme="minorEastAsia" w:cstheme="minorEastAsia"/>
          <w:bCs/>
          <w:color w:val="auto"/>
          <w:szCs w:val="21"/>
          <w:lang w:eastAsia="zh-CN"/>
        </w:rPr>
        <w:t>。</w:t>
      </w:r>
    </w:p>
    <w:p w14:paraId="53D3BB50">
      <w:pPr>
        <w:spacing w:line="360" w:lineRule="exact"/>
        <w:ind w:firstLine="420" w:firstLineChars="200"/>
        <w:outlineLvl w:val="1"/>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lang w:val="en-US" w:eastAsia="zh-CN"/>
        </w:rPr>
        <w:t>2.</w:t>
      </w:r>
      <w:r>
        <w:rPr>
          <w:rFonts w:hint="eastAsia" w:asciiTheme="minorEastAsia" w:hAnsiTheme="minorEastAsia" w:eastAsiaTheme="minorEastAsia" w:cstheme="minorEastAsia"/>
          <w:bCs/>
          <w:color w:val="auto"/>
          <w:szCs w:val="21"/>
        </w:rPr>
        <w:t>联合体收款单位完成收取服务费时，向甲方开具增值税专用发票，甲方凭联合体收款单位提供的增值税专用发票支付相应服务费，如联合体收款单位未按约定提供合法、有效、完整、准确的增值税专用发票，甲方有权迟延支付应付款项直至对方开具合格增值税发票，甲方不承担任何违约责任，乙方的各项合同义务仍应按合同约定履行。</w:t>
      </w:r>
    </w:p>
    <w:p w14:paraId="6F795D84">
      <w:pPr>
        <w:spacing w:line="360" w:lineRule="exact"/>
        <w:ind w:firstLine="420" w:firstLineChars="200"/>
        <w:outlineLvl w:val="1"/>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lang w:val="en-US" w:eastAsia="zh-CN"/>
        </w:rPr>
        <w:t>3.</w:t>
      </w:r>
      <w:r>
        <w:rPr>
          <w:rFonts w:hint="eastAsia" w:asciiTheme="minorEastAsia" w:hAnsiTheme="minorEastAsia" w:eastAsiaTheme="minorEastAsia" w:cstheme="minorEastAsia"/>
          <w:bCs/>
          <w:color w:val="auto"/>
          <w:szCs w:val="21"/>
        </w:rPr>
        <w:t>联合体收款单位须在开具增值税专用发票之日起15天内将增值税专用发票送达甲方，甲方签收增值税专用发票的日期为增值税专用发票的送达或签收日期。联合体收款单位开具的增值税专用发票不合格的，应在接到甲方要求后的15天内重新开具合格的增值税专用发票并送达至甲方，联合体收款单位自行承担相关费用。</w:t>
      </w:r>
    </w:p>
    <w:p w14:paraId="3D6DEA65">
      <w:pPr>
        <w:spacing w:line="360" w:lineRule="exact"/>
        <w:ind w:firstLine="420" w:firstLineChars="200"/>
        <w:outlineLvl w:val="1"/>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lang w:val="en-US" w:eastAsia="zh-CN"/>
        </w:rPr>
        <w:t>4.</w:t>
      </w:r>
      <w:r>
        <w:rPr>
          <w:rFonts w:hint="eastAsia" w:asciiTheme="minorEastAsia" w:hAnsiTheme="minorEastAsia" w:eastAsiaTheme="minorEastAsia" w:cstheme="minorEastAsia"/>
          <w:bCs/>
          <w:color w:val="auto"/>
          <w:szCs w:val="21"/>
        </w:rPr>
        <w:t>联合体收款单位如果不能提供合法、有效、完整、准确的增值税专用发票，甲方有权拒绝支付服务费。</w:t>
      </w:r>
    </w:p>
    <w:p w14:paraId="190218B0">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特别说明：</w:t>
      </w:r>
    </w:p>
    <w:p w14:paraId="0A048BDD">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（1）若以联合体中标的，需明确各费用的结算、收款单位，并向发甲方单位开具相应的发票。</w:t>
      </w:r>
    </w:p>
    <w:p w14:paraId="714EC687">
      <w:pPr>
        <w:adjustRightInd w:val="0"/>
        <w:snapToGrid w:val="0"/>
        <w:spacing w:line="360" w:lineRule="auto"/>
        <w:ind w:firstLine="406" w:firstLineChars="200"/>
        <w:jc w:val="left"/>
        <w:rPr>
          <w:rFonts w:ascii="宋体" w:hAnsi="宋体" w:cs="宋体"/>
          <w:b/>
          <w:bCs/>
          <w:spacing w:val="-4"/>
          <w:szCs w:val="21"/>
          <w:u w:val="single"/>
        </w:rPr>
      </w:pPr>
      <w:r>
        <w:rPr>
          <w:rFonts w:hint="eastAsia" w:ascii="宋体" w:hAnsi="宋体" w:cs="宋体"/>
          <w:b/>
          <w:bCs/>
          <w:spacing w:val="-4"/>
          <w:szCs w:val="21"/>
        </w:rPr>
        <w:t>现场检测</w:t>
      </w:r>
      <w:r>
        <w:rPr>
          <w:rFonts w:hint="eastAsia" w:ascii="宋体" w:hAnsi="宋体" w:cs="宋体"/>
          <w:b/>
          <w:bCs/>
          <w:szCs w:val="21"/>
        </w:rPr>
        <w:t>：                        ；</w:t>
      </w:r>
    </w:p>
    <w:p w14:paraId="40C54314">
      <w:pPr>
        <w:adjustRightInd w:val="0"/>
        <w:snapToGrid w:val="0"/>
        <w:spacing w:line="360" w:lineRule="auto"/>
        <w:ind w:firstLine="406" w:firstLineChars="200"/>
        <w:jc w:val="left"/>
        <w:rPr>
          <w:rFonts w:ascii="宋体" w:hAnsi="宋体" w:cs="宋体"/>
          <w:b/>
          <w:bCs/>
          <w:szCs w:val="21"/>
        </w:rPr>
      </w:pPr>
      <w:r>
        <w:rPr>
          <w:rFonts w:hint="eastAsia" w:ascii="宋体" w:hAnsi="宋体" w:cs="宋体"/>
          <w:b/>
          <w:bCs/>
          <w:spacing w:val="-4"/>
          <w:szCs w:val="21"/>
        </w:rPr>
        <w:t>安全鉴定</w:t>
      </w:r>
      <w:r>
        <w:rPr>
          <w:rFonts w:hint="eastAsia" w:ascii="宋体" w:hAnsi="宋体" w:cs="宋体"/>
          <w:b/>
          <w:bCs/>
          <w:szCs w:val="21"/>
        </w:rPr>
        <w:t>：                        ；</w:t>
      </w:r>
    </w:p>
    <w:p w14:paraId="4A38A86D">
      <w:pPr>
        <w:adjustRightInd w:val="0"/>
        <w:snapToGrid w:val="0"/>
        <w:spacing w:line="360" w:lineRule="auto"/>
        <w:ind w:firstLine="406" w:firstLineChars="200"/>
        <w:jc w:val="left"/>
        <w:rPr>
          <w:rFonts w:ascii="宋体" w:hAnsi="宋体" w:cs="宋体"/>
          <w:szCs w:val="21"/>
        </w:rPr>
      </w:pPr>
      <w:r>
        <w:rPr>
          <w:rFonts w:hint="eastAsia" w:ascii="宋体" w:hAnsi="宋体" w:cs="宋体"/>
          <w:b/>
          <w:bCs/>
          <w:spacing w:val="-4"/>
          <w:szCs w:val="21"/>
        </w:rPr>
        <w:t>消防评估</w:t>
      </w:r>
      <w:r>
        <w:rPr>
          <w:rFonts w:hint="eastAsia" w:ascii="宋体" w:hAnsi="宋体" w:cs="宋体"/>
          <w:b/>
          <w:bCs/>
          <w:szCs w:val="21"/>
        </w:rPr>
        <w:t>：                         。</w:t>
      </w:r>
    </w:p>
    <w:p w14:paraId="58FFFCC3">
      <w:pPr>
        <w:numPr>
          <w:ilvl w:val="0"/>
          <w:numId w:val="1"/>
        </w:numPr>
        <w:tabs>
          <w:tab w:val="left" w:pos="900"/>
        </w:tabs>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常州市公安局仅作为统一招标主体，为了保证成本归集原则，结算时将按各项目所属产权主体分别结算，付款方式及结算方式以合同为准。</w:t>
      </w:r>
    </w:p>
    <w:p w14:paraId="687FE359">
      <w:pPr>
        <w:spacing w:line="380" w:lineRule="exact"/>
        <w:ind w:right="210"/>
        <w:jc w:val="left"/>
        <w:rPr>
          <w:rFonts w:ascii="宋体" w:hAnsi="宋体" w:cs="宋体"/>
          <w:szCs w:val="21"/>
        </w:rPr>
      </w:pPr>
    </w:p>
    <w:p w14:paraId="2B60B4FE">
      <w:pPr>
        <w:widowControl/>
        <w:jc w:val="left"/>
        <w:rPr>
          <w:rFonts w:ascii="宋体" w:hAnsi="宋体" w:cs="宋体"/>
          <w:b/>
          <w:sz w:val="30"/>
          <w:szCs w:val="30"/>
        </w:rPr>
      </w:pPr>
      <w:r>
        <w:rPr>
          <w:rFonts w:hint="eastAsia" w:ascii="宋体" w:hAnsi="宋体" w:cs="宋体"/>
          <w:b/>
          <w:sz w:val="30"/>
          <w:szCs w:val="30"/>
        </w:rPr>
        <w:br w:type="page"/>
      </w:r>
    </w:p>
    <w:p w14:paraId="3FB1BDE4">
      <w:pPr>
        <w:pStyle w:val="2"/>
        <w:rPr>
          <w:rFonts w:ascii="宋体" w:hAnsi="宋体" w:cs="宋体"/>
        </w:rPr>
      </w:pPr>
      <w:bookmarkStart w:id="3" w:name="_Toc17537929"/>
      <w:r>
        <w:rPr>
          <w:rFonts w:hint="eastAsia" w:ascii="宋体" w:hAnsi="宋体" w:cs="宋体"/>
        </w:rPr>
        <w:t>第三章  合同主要条款</w:t>
      </w:r>
      <w:bookmarkEnd w:id="3"/>
    </w:p>
    <w:p w14:paraId="1FFF880E">
      <w:pPr>
        <w:snapToGrid w:val="0"/>
        <w:spacing w:line="360" w:lineRule="exact"/>
        <w:ind w:firstLine="211" w:firstLineChars="100"/>
        <w:rPr>
          <w:rFonts w:ascii="宋体" w:hAnsi="宋体" w:cs="宋体"/>
          <w:b/>
          <w:szCs w:val="21"/>
          <w:lang w:bidi="ar"/>
        </w:rPr>
      </w:pPr>
      <w:r>
        <w:rPr>
          <w:rFonts w:hint="eastAsia" w:ascii="宋体" w:hAnsi="宋体" w:cs="宋体"/>
          <w:b/>
          <w:szCs w:val="21"/>
          <w:lang w:val="en-US" w:eastAsia="zh-CN" w:bidi="ar"/>
        </w:rPr>
        <w:t>采购人</w:t>
      </w:r>
      <w:r>
        <w:rPr>
          <w:rFonts w:hint="eastAsia" w:ascii="宋体" w:hAnsi="宋体" w:cs="宋体"/>
          <w:b/>
          <w:szCs w:val="21"/>
          <w:lang w:bidi="ar"/>
        </w:rPr>
        <w:t xml:space="preserve">（简称“甲方”）: </w:t>
      </w:r>
      <w:r>
        <w:rPr>
          <w:rFonts w:hint="eastAsia" w:ascii="宋体" w:hAnsi="宋体" w:cs="宋体"/>
          <w:szCs w:val="21"/>
          <w:u w:val="single"/>
          <w:lang w:bidi="ar"/>
        </w:rPr>
        <w:t xml:space="preserve">                         </w:t>
      </w:r>
      <w:r>
        <w:rPr>
          <w:rFonts w:hint="eastAsia" w:ascii="宋体" w:hAnsi="宋体" w:cs="宋体"/>
          <w:b/>
          <w:szCs w:val="21"/>
          <w:lang w:bidi="ar"/>
        </w:rPr>
        <w:t xml:space="preserve">             </w:t>
      </w:r>
    </w:p>
    <w:p w14:paraId="4D4DB937">
      <w:pPr>
        <w:snapToGrid w:val="0"/>
        <w:spacing w:line="360" w:lineRule="exact"/>
        <w:ind w:firstLine="211" w:firstLineChars="100"/>
        <w:rPr>
          <w:rFonts w:ascii="宋体" w:hAnsi="宋体" w:cs="宋体"/>
          <w:szCs w:val="21"/>
          <w:u w:val="single"/>
        </w:rPr>
      </w:pPr>
      <w:r>
        <w:rPr>
          <w:rFonts w:hint="eastAsia" w:ascii="宋体" w:hAnsi="宋体" w:cs="宋体"/>
          <w:b/>
          <w:szCs w:val="21"/>
          <w:lang w:val="en-US" w:eastAsia="zh-CN" w:bidi="ar"/>
        </w:rPr>
        <w:t>供应商</w:t>
      </w:r>
      <w:r>
        <w:rPr>
          <w:rFonts w:hint="eastAsia" w:ascii="宋体" w:hAnsi="宋体" w:cs="宋体"/>
          <w:b/>
          <w:szCs w:val="21"/>
          <w:lang w:bidi="ar"/>
        </w:rPr>
        <w:t xml:space="preserve">1（简称“乙方1”）: </w:t>
      </w:r>
      <w:r>
        <w:rPr>
          <w:rFonts w:hint="eastAsia" w:ascii="宋体" w:hAnsi="宋体" w:cs="宋体"/>
          <w:b/>
          <w:szCs w:val="21"/>
          <w:u w:val="single"/>
          <w:lang w:bidi="ar"/>
        </w:rPr>
        <w:t xml:space="preserve">                         </w:t>
      </w:r>
      <w:r>
        <w:rPr>
          <w:rFonts w:hint="eastAsia" w:ascii="宋体" w:hAnsi="宋体" w:cs="宋体"/>
          <w:b/>
          <w:szCs w:val="21"/>
          <w:lang w:bidi="ar"/>
        </w:rPr>
        <w:t xml:space="preserve">             </w:t>
      </w:r>
    </w:p>
    <w:p w14:paraId="5C8FE455">
      <w:pPr>
        <w:snapToGrid w:val="0"/>
        <w:spacing w:line="360" w:lineRule="exact"/>
        <w:ind w:firstLine="211" w:firstLineChars="100"/>
        <w:rPr>
          <w:rFonts w:ascii="宋体" w:hAnsi="宋体" w:cs="宋体"/>
          <w:b/>
          <w:szCs w:val="21"/>
          <w:lang w:bidi="ar"/>
        </w:rPr>
      </w:pPr>
      <w:r>
        <w:rPr>
          <w:rFonts w:hint="eastAsia" w:ascii="宋体" w:hAnsi="宋体" w:cs="宋体"/>
          <w:b/>
          <w:szCs w:val="21"/>
          <w:lang w:val="en-US" w:eastAsia="zh-CN" w:bidi="ar"/>
        </w:rPr>
        <w:t>供应商</w:t>
      </w:r>
      <w:r>
        <w:rPr>
          <w:rFonts w:hint="eastAsia" w:ascii="宋体" w:hAnsi="宋体" w:cs="宋体"/>
          <w:b/>
          <w:szCs w:val="21"/>
          <w:lang w:bidi="ar"/>
        </w:rPr>
        <w:t xml:space="preserve">2（简称“乙方2”）: </w:t>
      </w:r>
      <w:r>
        <w:rPr>
          <w:rFonts w:hint="eastAsia" w:ascii="宋体" w:hAnsi="宋体" w:cs="宋体"/>
          <w:b/>
          <w:szCs w:val="21"/>
          <w:u w:val="single"/>
          <w:lang w:bidi="ar"/>
        </w:rPr>
        <w:t xml:space="preserve">                         </w:t>
      </w:r>
    </w:p>
    <w:p w14:paraId="33CE4A58">
      <w:pPr>
        <w:snapToGrid w:val="0"/>
        <w:spacing w:line="360" w:lineRule="exact"/>
        <w:ind w:firstLine="211" w:firstLineChars="100"/>
        <w:rPr>
          <w:rFonts w:ascii="宋体" w:hAnsi="宋体" w:cs="宋体"/>
          <w:szCs w:val="21"/>
        </w:rPr>
      </w:pPr>
      <w:r>
        <w:rPr>
          <w:rFonts w:hint="eastAsia" w:ascii="宋体" w:hAnsi="宋体" w:cs="宋体"/>
          <w:b/>
          <w:szCs w:val="21"/>
          <w:lang w:bidi="ar"/>
        </w:rPr>
        <w:t>项目编号：</w:t>
      </w:r>
    </w:p>
    <w:p w14:paraId="037C3A92">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lang w:bidi="ar"/>
        </w:rPr>
        <w:t>根据《中华人民共和国民法典》等法律法规的规定，在真实、充分表达各自意愿的基础上，经过平等协商，达成如下协议（简称本合同），由三方共同恪守。</w:t>
      </w:r>
    </w:p>
    <w:p w14:paraId="72C43DD1">
      <w:pPr>
        <w:adjustRightInd w:val="0"/>
        <w:snapToGrid w:val="0"/>
        <w:spacing w:line="360" w:lineRule="exact"/>
        <w:jc w:val="left"/>
        <w:rPr>
          <w:rFonts w:ascii="宋体" w:hAnsi="宋体" w:cs="宋体"/>
          <w:szCs w:val="21"/>
        </w:rPr>
      </w:pPr>
      <w:r>
        <w:rPr>
          <w:rFonts w:hint="eastAsia" w:ascii="宋体" w:hAnsi="宋体" w:cs="宋体"/>
          <w:b/>
          <w:bCs/>
          <w:szCs w:val="21"/>
          <w:lang w:bidi="ar"/>
        </w:rPr>
        <w:t>第一条  合同标的</w:t>
      </w:r>
      <w:r>
        <w:rPr>
          <w:rFonts w:hint="eastAsia" w:ascii="宋体" w:hAnsi="宋体" w:cs="宋体"/>
          <w:szCs w:val="21"/>
          <w:lang w:bidi="ar"/>
        </w:rPr>
        <w:t xml:space="preserve">   </w:t>
      </w:r>
    </w:p>
    <w:p w14:paraId="0F456EDB">
      <w:pPr>
        <w:adjustRightInd w:val="0"/>
        <w:snapToGrid w:val="0"/>
        <w:spacing w:line="360" w:lineRule="exact"/>
        <w:ind w:firstLine="420" w:firstLineChars="200"/>
        <w:jc w:val="left"/>
        <w:rPr>
          <w:rFonts w:ascii="宋体" w:hAnsi="宋体" w:cs="宋体"/>
          <w:szCs w:val="21"/>
          <w:u w:val="single"/>
        </w:rPr>
      </w:pPr>
      <w:r>
        <w:rPr>
          <w:rFonts w:hint="eastAsia" w:ascii="宋体" w:hAnsi="宋体" w:cs="宋体"/>
          <w:szCs w:val="21"/>
          <w:lang w:bidi="ar"/>
        </w:rPr>
        <w:t>1、甲方将委托乙方实行</w:t>
      </w:r>
      <w:r>
        <w:rPr>
          <w:rFonts w:hint="eastAsia" w:ascii="宋体" w:hAnsi="宋体" w:cs="宋体"/>
          <w:szCs w:val="21"/>
          <w:u w:val="single"/>
        </w:rPr>
        <w:t xml:space="preserve">                         。</w:t>
      </w:r>
    </w:p>
    <w:p w14:paraId="206C1626">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lang w:bidi="ar"/>
        </w:rPr>
        <w:t>2、项目地点：常州市。</w:t>
      </w:r>
    </w:p>
    <w:p w14:paraId="4F83D943">
      <w:pPr>
        <w:adjustRightInd w:val="0"/>
        <w:snapToGrid w:val="0"/>
        <w:spacing w:line="360" w:lineRule="exact"/>
        <w:jc w:val="left"/>
        <w:rPr>
          <w:rFonts w:ascii="宋体" w:hAnsi="宋体" w:cs="宋体"/>
          <w:b/>
          <w:bCs/>
          <w:szCs w:val="21"/>
        </w:rPr>
      </w:pPr>
      <w:r>
        <w:rPr>
          <w:rFonts w:hint="eastAsia" w:ascii="宋体" w:hAnsi="宋体" w:cs="宋体"/>
          <w:b/>
          <w:bCs/>
          <w:szCs w:val="21"/>
          <w:lang w:bidi="ar"/>
        </w:rPr>
        <w:t>第二条  检测流程</w:t>
      </w:r>
    </w:p>
    <w:p w14:paraId="77D2EA44">
      <w:pPr>
        <w:widowControl/>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1、检测准备工作：合同签订后，甲方提供相关资料，乙方依据相关现行质量验收规范、现行质检验收规定等，制订检测计划和检测方案，报甲方审核确认。</w:t>
      </w:r>
    </w:p>
    <w:p w14:paraId="0BD1602F">
      <w:pPr>
        <w:widowControl/>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2、现场检测：乙方向甲方进行检测技术及安全交底，乙方根据检测标准规范操作及记录原始数据；现场检测时甲方需派专人进行现场配合工作。</w:t>
      </w:r>
    </w:p>
    <w:p w14:paraId="7FE7B567">
      <w:pPr>
        <w:widowControl/>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3、乙方进行原始数据的整理、计算及分析。</w:t>
      </w:r>
    </w:p>
    <w:p w14:paraId="26B4DF3F">
      <w:pPr>
        <w:widowControl/>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4、乙方根据现场检测数据及计算分析，出具检测报告并将相应的处理建议提交甲方。</w:t>
      </w:r>
    </w:p>
    <w:p w14:paraId="307756BD">
      <w:pPr>
        <w:adjustRightInd w:val="0"/>
        <w:snapToGrid w:val="0"/>
        <w:spacing w:line="360" w:lineRule="exact"/>
        <w:jc w:val="left"/>
        <w:rPr>
          <w:rFonts w:ascii="宋体" w:hAnsi="宋体" w:cs="宋体"/>
          <w:b/>
          <w:szCs w:val="21"/>
        </w:rPr>
      </w:pPr>
      <w:r>
        <w:rPr>
          <w:rFonts w:hint="eastAsia" w:ascii="宋体" w:hAnsi="宋体" w:cs="宋体"/>
          <w:b/>
          <w:szCs w:val="21"/>
        </w:rPr>
        <w:t>第三条  服务内容</w:t>
      </w:r>
    </w:p>
    <w:p w14:paraId="6D13A0F0">
      <w:pPr>
        <w:adjustRightInd w:val="0"/>
        <w:snapToGrid w:val="0"/>
        <w:spacing w:line="360" w:lineRule="exact"/>
        <w:ind w:firstLine="422" w:firstLineChars="200"/>
        <w:jc w:val="left"/>
        <w:rPr>
          <w:rFonts w:ascii="宋体" w:hAnsi="宋体" w:cs="宋体"/>
          <w:b/>
          <w:bCs/>
          <w:szCs w:val="21"/>
        </w:rPr>
      </w:pPr>
      <w:r>
        <w:rPr>
          <w:rFonts w:hint="eastAsia" w:ascii="宋体" w:hAnsi="宋体" w:cs="宋体"/>
          <w:b/>
          <w:bCs/>
          <w:szCs w:val="21"/>
        </w:rPr>
        <w:t>（一）检测内容</w:t>
      </w:r>
    </w:p>
    <w:p w14:paraId="68BAED2A">
      <w:pPr>
        <w:adjustRightInd w:val="0"/>
        <w:snapToGrid w:val="0"/>
        <w:spacing w:line="360" w:lineRule="exact"/>
        <w:ind w:firstLine="428" w:firstLineChars="200"/>
        <w:jc w:val="left"/>
        <w:rPr>
          <w:rFonts w:ascii="宋体" w:hAnsi="宋体" w:cs="宋体"/>
          <w:bCs/>
          <w:spacing w:val="2"/>
          <w:szCs w:val="21"/>
        </w:rPr>
      </w:pPr>
      <w:r>
        <w:rPr>
          <w:rFonts w:hint="eastAsia" w:ascii="宋体" w:hAnsi="宋体" w:cs="宋体"/>
          <w:bCs/>
          <w:spacing w:val="2"/>
          <w:szCs w:val="21"/>
        </w:rPr>
        <w:t>1、建筑物结构体系及绘图</w:t>
      </w:r>
    </w:p>
    <w:p w14:paraId="24733738">
      <w:pPr>
        <w:adjustRightInd w:val="0"/>
        <w:snapToGrid w:val="0"/>
        <w:spacing w:line="360" w:lineRule="exact"/>
        <w:ind w:firstLine="428" w:firstLineChars="200"/>
        <w:jc w:val="left"/>
        <w:rPr>
          <w:rFonts w:ascii="宋体" w:hAnsi="宋体" w:cs="宋体"/>
          <w:bCs/>
          <w:spacing w:val="2"/>
          <w:szCs w:val="21"/>
        </w:rPr>
      </w:pPr>
      <w:r>
        <w:rPr>
          <w:rFonts w:hint="eastAsia" w:ascii="宋体" w:hAnsi="宋体" w:cs="宋体"/>
          <w:bCs/>
          <w:spacing w:val="2"/>
          <w:szCs w:val="21"/>
        </w:rPr>
        <w:t>对该区域的平面结构做法、轴线位置及间距、主要构件平面布置、截面尺寸、连接构造、层高、屋面等进行详细检查，如与图纸不符，绘制不符处建筑结构工程现状图。</w:t>
      </w:r>
    </w:p>
    <w:p w14:paraId="145C0A4C">
      <w:pPr>
        <w:adjustRightInd w:val="0"/>
        <w:snapToGrid w:val="0"/>
        <w:spacing w:line="360" w:lineRule="exact"/>
        <w:ind w:firstLine="428" w:firstLineChars="200"/>
        <w:jc w:val="left"/>
        <w:rPr>
          <w:rFonts w:ascii="宋体" w:hAnsi="宋体" w:cs="宋体"/>
          <w:bCs/>
          <w:spacing w:val="2"/>
          <w:szCs w:val="21"/>
        </w:rPr>
      </w:pPr>
      <w:r>
        <w:rPr>
          <w:rFonts w:hint="eastAsia" w:ascii="宋体" w:hAnsi="宋体" w:cs="宋体"/>
          <w:bCs/>
          <w:spacing w:val="2"/>
          <w:szCs w:val="21"/>
        </w:rPr>
        <w:t>2、外观质量缺陷及损伤检查</w:t>
      </w:r>
    </w:p>
    <w:p w14:paraId="73D3CB35">
      <w:pPr>
        <w:adjustRightInd w:val="0"/>
        <w:snapToGrid w:val="0"/>
        <w:spacing w:line="360" w:lineRule="exact"/>
        <w:ind w:firstLine="428" w:firstLineChars="200"/>
        <w:jc w:val="left"/>
        <w:rPr>
          <w:rFonts w:ascii="宋体" w:hAnsi="宋体" w:cs="宋体"/>
          <w:bCs/>
          <w:spacing w:val="2"/>
          <w:szCs w:val="21"/>
        </w:rPr>
      </w:pPr>
      <w:r>
        <w:rPr>
          <w:rFonts w:hint="eastAsia" w:ascii="宋体" w:hAnsi="宋体" w:cs="宋体"/>
          <w:bCs/>
          <w:spacing w:val="2"/>
          <w:szCs w:val="21"/>
        </w:rPr>
        <w:t>3、材料强度</w:t>
      </w:r>
    </w:p>
    <w:p w14:paraId="4767BFE5">
      <w:pPr>
        <w:adjustRightInd w:val="0"/>
        <w:snapToGrid w:val="0"/>
        <w:spacing w:line="360" w:lineRule="exact"/>
        <w:ind w:firstLine="428" w:firstLineChars="200"/>
        <w:jc w:val="left"/>
        <w:rPr>
          <w:rFonts w:ascii="宋体" w:hAnsi="宋体" w:cs="宋体"/>
          <w:bCs/>
          <w:spacing w:val="2"/>
          <w:szCs w:val="21"/>
        </w:rPr>
      </w:pPr>
      <w:r>
        <w:rPr>
          <w:rFonts w:hint="eastAsia" w:ascii="宋体" w:hAnsi="宋体" w:cs="宋体"/>
          <w:bCs/>
          <w:spacing w:val="2"/>
          <w:szCs w:val="21"/>
        </w:rPr>
        <w:t>4、构件尺寸</w:t>
      </w:r>
    </w:p>
    <w:p w14:paraId="478DFC79">
      <w:pPr>
        <w:adjustRightInd w:val="0"/>
        <w:snapToGrid w:val="0"/>
        <w:spacing w:line="360" w:lineRule="exact"/>
        <w:ind w:firstLine="428" w:firstLineChars="200"/>
        <w:jc w:val="left"/>
        <w:rPr>
          <w:rFonts w:ascii="宋体" w:hAnsi="宋体" w:cs="宋体"/>
          <w:bCs/>
          <w:spacing w:val="2"/>
          <w:szCs w:val="21"/>
        </w:rPr>
      </w:pPr>
      <w:r>
        <w:rPr>
          <w:rFonts w:hint="eastAsia" w:ascii="宋体" w:hAnsi="宋体" w:cs="宋体"/>
          <w:bCs/>
          <w:spacing w:val="2"/>
          <w:szCs w:val="21"/>
        </w:rPr>
        <w:t>5、钢筋配置</w:t>
      </w:r>
    </w:p>
    <w:p w14:paraId="2D4018ED">
      <w:pPr>
        <w:adjustRightInd w:val="0"/>
        <w:snapToGrid w:val="0"/>
        <w:spacing w:line="360" w:lineRule="exact"/>
        <w:ind w:firstLine="428" w:firstLineChars="200"/>
        <w:jc w:val="left"/>
        <w:rPr>
          <w:rFonts w:ascii="宋体" w:hAnsi="宋体" w:cs="宋体"/>
          <w:bCs/>
          <w:spacing w:val="2"/>
          <w:szCs w:val="21"/>
        </w:rPr>
      </w:pPr>
      <w:r>
        <w:rPr>
          <w:rFonts w:hint="eastAsia" w:ascii="宋体" w:hAnsi="宋体" w:cs="宋体"/>
          <w:bCs/>
          <w:spacing w:val="2"/>
          <w:szCs w:val="21"/>
        </w:rPr>
        <w:t>6、房屋垂直度。</w:t>
      </w:r>
    </w:p>
    <w:p w14:paraId="1496B6C5">
      <w:pPr>
        <w:adjustRightInd w:val="0"/>
        <w:snapToGrid w:val="0"/>
        <w:spacing w:line="360" w:lineRule="exact"/>
        <w:ind w:firstLine="428" w:firstLineChars="200"/>
        <w:jc w:val="left"/>
        <w:rPr>
          <w:rFonts w:ascii="宋体" w:hAnsi="宋体" w:cs="宋体"/>
          <w:bCs/>
          <w:spacing w:val="2"/>
          <w:szCs w:val="21"/>
        </w:rPr>
      </w:pPr>
      <w:r>
        <w:rPr>
          <w:rFonts w:hint="eastAsia" w:ascii="宋体" w:hAnsi="宋体" w:cs="宋体"/>
          <w:bCs/>
          <w:spacing w:val="2"/>
          <w:szCs w:val="21"/>
        </w:rPr>
        <w:t>7、未明确处按相关规范要求</w:t>
      </w:r>
    </w:p>
    <w:p w14:paraId="5CF04EDF">
      <w:pPr>
        <w:adjustRightInd w:val="0"/>
        <w:snapToGrid w:val="0"/>
        <w:spacing w:line="360" w:lineRule="exact"/>
        <w:ind w:firstLine="428" w:firstLineChars="200"/>
        <w:jc w:val="left"/>
        <w:rPr>
          <w:rFonts w:ascii="宋体" w:hAnsi="宋体" w:cs="宋体"/>
          <w:bCs/>
          <w:spacing w:val="2"/>
          <w:szCs w:val="21"/>
        </w:rPr>
      </w:pPr>
      <w:r>
        <w:rPr>
          <w:rFonts w:hint="eastAsia" w:ascii="宋体" w:hAnsi="宋体" w:cs="宋体"/>
          <w:bCs/>
          <w:spacing w:val="2"/>
          <w:szCs w:val="21"/>
        </w:rPr>
        <w:t xml:space="preserve">根据现场检测结果，出具相关检测报告。 </w:t>
      </w:r>
    </w:p>
    <w:p w14:paraId="1C14F3B6">
      <w:pPr>
        <w:adjustRightInd w:val="0"/>
        <w:snapToGrid w:val="0"/>
        <w:spacing w:line="360" w:lineRule="exact"/>
        <w:ind w:firstLine="422" w:firstLineChars="200"/>
        <w:jc w:val="left"/>
        <w:rPr>
          <w:rFonts w:ascii="宋体" w:hAnsi="宋体" w:cs="宋体"/>
          <w:b/>
          <w:bCs/>
          <w:szCs w:val="21"/>
        </w:rPr>
      </w:pPr>
      <w:r>
        <w:rPr>
          <w:rFonts w:hint="eastAsia" w:ascii="宋体" w:hAnsi="宋体" w:cs="宋体"/>
          <w:b/>
          <w:bCs/>
          <w:szCs w:val="21"/>
        </w:rPr>
        <w:t>（二）消防评估</w:t>
      </w:r>
    </w:p>
    <w:p w14:paraId="4101048D">
      <w:pPr>
        <w:adjustRightInd w:val="0"/>
        <w:snapToGrid w:val="0"/>
        <w:spacing w:line="360" w:lineRule="exact"/>
        <w:ind w:firstLine="420" w:firstLineChars="200"/>
        <w:jc w:val="left"/>
        <w:rPr>
          <w:rFonts w:ascii="宋体" w:hAnsi="宋体" w:cs="宋体"/>
          <w:bCs/>
          <w:szCs w:val="21"/>
        </w:rPr>
      </w:pPr>
      <w:r>
        <w:rPr>
          <w:rFonts w:hint="eastAsia" w:ascii="宋体" w:hAnsi="宋体" w:cs="宋体"/>
          <w:bCs/>
          <w:szCs w:val="21"/>
        </w:rPr>
        <w:t>根据现状建筑布置，对照原设计图纸进行消防评估，检测消防设施是否到位，消防通道等是否符合当时规范等，如与图纸不符，出具消防评估意见及整改方案，待招标人整改到位，出具正式消防评估报告。</w:t>
      </w:r>
    </w:p>
    <w:p w14:paraId="23A65201">
      <w:pPr>
        <w:adjustRightInd w:val="0"/>
        <w:snapToGrid w:val="0"/>
        <w:spacing w:line="360" w:lineRule="exact"/>
        <w:ind w:firstLine="422" w:firstLineChars="200"/>
        <w:jc w:val="left"/>
        <w:rPr>
          <w:rFonts w:ascii="宋体" w:hAnsi="宋体" w:cs="宋体"/>
          <w:b/>
          <w:bCs/>
          <w:szCs w:val="21"/>
        </w:rPr>
      </w:pPr>
      <w:r>
        <w:rPr>
          <w:rFonts w:hint="eastAsia" w:ascii="宋体" w:hAnsi="宋体" w:cs="宋体"/>
          <w:b/>
          <w:bCs/>
          <w:szCs w:val="21"/>
        </w:rPr>
        <w:t>（三）鉴定内容</w:t>
      </w:r>
    </w:p>
    <w:p w14:paraId="609A228F">
      <w:pPr>
        <w:tabs>
          <w:tab w:val="left" w:pos="284"/>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1、根据本项目建筑物现状、项目原始图、竣工图、工程竣工验收资料及竣工后第三方检测鉴定报告，依据相关资料文献、规范标准，对其进行结构安全性鉴定，并提供安全性鉴定报告。</w:t>
      </w:r>
    </w:p>
    <w:p w14:paraId="79F82E1F">
      <w:pPr>
        <w:tabs>
          <w:tab w:val="left" w:pos="284"/>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2、鉴定主要内容应包括：</w:t>
      </w:r>
    </w:p>
    <w:p w14:paraId="0C4EB8FF">
      <w:pPr>
        <w:tabs>
          <w:tab w:val="left" w:pos="284"/>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（1）现场复核：根据建筑竣工图进行现场量测复核结构布置、结构形式、截面尺寸、支承与连接构造、结构材料等；</w:t>
      </w:r>
    </w:p>
    <w:p w14:paraId="4FC2643F">
      <w:pPr>
        <w:tabs>
          <w:tab w:val="left" w:pos="284"/>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（2）结构普查：对结构的现状进行调查，包括结构上的作用，建筑物网内外环境调查；对各种构件的外观缺陷进行逐个检查；</w:t>
      </w:r>
    </w:p>
    <w:p w14:paraId="123E7012">
      <w:pPr>
        <w:tabs>
          <w:tab w:val="left" w:pos="284"/>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（3）收集结构分析所需相关资料：如竣工图、竣工验收资料、修缮前后第三方检测鉴定报告等</w:t>
      </w:r>
    </w:p>
    <w:p w14:paraId="762CF6A5">
      <w:pPr>
        <w:tabs>
          <w:tab w:val="left" w:pos="284"/>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（4）结构检测计算：对受力构件进行复核计算，了解砖、木等结构构件的现状情况；</w:t>
      </w:r>
    </w:p>
    <w:p w14:paraId="3A3D48DA">
      <w:pPr>
        <w:tabs>
          <w:tab w:val="left" w:pos="284"/>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（5）对地基基础上部承重结构的承载能力、构造、变形及损伤情况俺早构建进行安全性鉴定评级；</w:t>
      </w:r>
    </w:p>
    <w:p w14:paraId="7726D5BB">
      <w:pPr>
        <w:tabs>
          <w:tab w:val="left" w:pos="284"/>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（6）结合测绘、勘察、测试、计算分析结果编制安全性鉴定报告；</w:t>
      </w:r>
    </w:p>
    <w:p w14:paraId="460292D6">
      <w:pPr>
        <w:tabs>
          <w:tab w:val="left" w:pos="284"/>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3、质量标准：符合国家规范、规程、地方法规及技术要求。</w:t>
      </w:r>
    </w:p>
    <w:p w14:paraId="079D2774">
      <w:pPr>
        <w:widowControl/>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4、乙方依据相关现行质量验收规范、现行质检验收规定等相关标准要求以及检测标准实施安全性鉴定服务。</w:t>
      </w:r>
    </w:p>
    <w:p w14:paraId="7F90D3C8">
      <w:pPr>
        <w:adjustRightInd w:val="0"/>
        <w:snapToGrid w:val="0"/>
        <w:spacing w:line="360" w:lineRule="exact"/>
        <w:jc w:val="left"/>
        <w:rPr>
          <w:rFonts w:ascii="宋体" w:hAnsi="宋体" w:cs="宋体"/>
          <w:szCs w:val="21"/>
        </w:rPr>
      </w:pPr>
      <w:r>
        <w:rPr>
          <w:rFonts w:hint="eastAsia" w:ascii="宋体" w:hAnsi="宋体" w:cs="宋体"/>
          <w:b/>
          <w:bCs/>
          <w:szCs w:val="21"/>
        </w:rPr>
        <w:t>第四条  检测要求，包括但不限于：</w:t>
      </w:r>
    </w:p>
    <w:p w14:paraId="1253B4CC">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1.《建筑基桩检测技术规范》JGJ106-2014；</w:t>
      </w:r>
    </w:p>
    <w:p w14:paraId="282C312E">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2.《建筑地基基础设计规范》GB5007-2011；</w:t>
      </w:r>
    </w:p>
    <w:p w14:paraId="029EED16">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3.《建筑桩基技术规范》JGJ 94-2008；</w:t>
      </w:r>
    </w:p>
    <w:p w14:paraId="73542510">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4.《建筑结构检测技术标准》GB/T50344—2019；</w:t>
      </w:r>
    </w:p>
    <w:p w14:paraId="29B17B1C">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5.《工程测量规范》GB 50026-2020；</w:t>
      </w:r>
    </w:p>
    <w:p w14:paraId="3578D621">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6.《建筑变形测量规范》JGJ 8-2016；</w:t>
      </w:r>
    </w:p>
    <w:p w14:paraId="3A546F75">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7.《砌体结构工程施工质量验收规范》GB 50203-2011；</w:t>
      </w:r>
    </w:p>
    <w:p w14:paraId="7FC36390">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8.《砌体工程现场检测技术标准》GB/T 50315-2011；</w:t>
      </w:r>
    </w:p>
    <w:p w14:paraId="2ECE8DF2">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10.《混凝土中钢筋检测技术标准》JGJ/T152-2019；</w:t>
      </w:r>
    </w:p>
    <w:p w14:paraId="6133B8ED">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11.《钻芯法检测混凝土强度技术规程》JGJ/T384-2016；</w:t>
      </w:r>
    </w:p>
    <w:p w14:paraId="1F8E1B53">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12.《混凝土结构工程施工质量验收规范》GB50204-2015；</w:t>
      </w:r>
    </w:p>
    <w:p w14:paraId="3ABB13B8">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13.《混凝土结构现场检测技术标准》GB/T50784-2013；</w:t>
      </w:r>
    </w:p>
    <w:p w14:paraId="5C08E667">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14.《钢结构现场检测技术标准》GB/T 50621-2010；</w:t>
      </w:r>
    </w:p>
    <w:p w14:paraId="5ECD8986">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14.《民用建筑可靠性鉴定标准》GB 50292-2019；</w:t>
      </w:r>
    </w:p>
    <w:p w14:paraId="18F6106A">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15.国家及江苏省的其他相关标准。</w:t>
      </w:r>
    </w:p>
    <w:p w14:paraId="2586F00B">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16.甲方提供的房屋建筑、结构竣工图纸等工程技术资料 (如有)；</w:t>
      </w:r>
    </w:p>
    <w:p w14:paraId="327B48B0">
      <w:pPr>
        <w:widowControl/>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17.工程合同书等。</w:t>
      </w:r>
    </w:p>
    <w:p w14:paraId="04C65324">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18.其他要求：乙方必须配备足够的人员、工具，确保在甲方要求的时间内完成鉴定工作。鉴定及检测现场乙方必须保障足够的安全防范措施，符合安全作业要求，保障检测人员及设备的安全，对工作中的安全负全责。乙方须严格按照国家规范、标准进行鉴定，对鉴定结果及所出具的检测鉴定报告的公正性、科学性、规范性、准确性、可靠性负责，对技术数据进行保密，确保检测鉴定结果不对外公开。乙方按要求提供所有检测鉴定服务及鉴定数据，保证数据的准确性和完整性，并对提供数据承担技术责任。</w:t>
      </w:r>
    </w:p>
    <w:p w14:paraId="61F2D31A">
      <w:pPr>
        <w:widowControl/>
        <w:adjustRightInd w:val="0"/>
        <w:snapToGrid w:val="0"/>
        <w:spacing w:line="360" w:lineRule="exact"/>
        <w:jc w:val="left"/>
        <w:rPr>
          <w:rFonts w:ascii="宋体" w:hAnsi="宋体" w:cs="宋体"/>
          <w:b/>
          <w:szCs w:val="21"/>
        </w:rPr>
      </w:pPr>
      <w:r>
        <w:rPr>
          <w:rFonts w:hint="eastAsia" w:ascii="宋体" w:hAnsi="宋体" w:cs="宋体"/>
          <w:b/>
          <w:szCs w:val="21"/>
        </w:rPr>
        <w:t>第五条  服务期限</w:t>
      </w:r>
    </w:p>
    <w:p w14:paraId="47D47F11">
      <w:pPr>
        <w:adjustRightInd w:val="0"/>
        <w:snapToGrid w:val="0"/>
        <w:spacing w:line="360" w:lineRule="exact"/>
        <w:ind w:firstLine="420" w:firstLineChars="200"/>
        <w:jc w:val="left"/>
        <w:rPr>
          <w:rFonts w:ascii="宋体" w:hAnsi="宋体" w:cs="宋体"/>
          <w:szCs w:val="21"/>
          <w:highlight w:val="none"/>
        </w:rPr>
      </w:pPr>
      <w:r>
        <w:rPr>
          <w:rFonts w:hint="eastAsia" w:ascii="宋体" w:hAnsi="宋体" w:cs="宋体"/>
          <w:szCs w:val="21"/>
          <w:highlight w:val="none"/>
        </w:rPr>
        <w:t>1、合同履行期限：在受到招标人项目委托后15日历天内完成所有检测内容并向采购人提交正式检测鉴定报告。</w:t>
      </w:r>
    </w:p>
    <w:p w14:paraId="1D0C6BD5">
      <w:pPr>
        <w:adjustRightInd w:val="0"/>
        <w:snapToGrid w:val="0"/>
        <w:spacing w:line="360" w:lineRule="exact"/>
        <w:jc w:val="left"/>
        <w:rPr>
          <w:rFonts w:ascii="宋体" w:hAnsi="宋体" w:cs="宋体"/>
          <w:b/>
          <w:szCs w:val="21"/>
          <w:highlight w:val="none"/>
        </w:rPr>
      </w:pPr>
      <w:r>
        <w:rPr>
          <w:rFonts w:hint="eastAsia" w:ascii="宋体" w:hAnsi="宋体" w:cs="宋体"/>
          <w:b/>
          <w:szCs w:val="21"/>
          <w:highlight w:val="none"/>
        </w:rPr>
        <w:t>第六条  合同价款与支付</w:t>
      </w:r>
    </w:p>
    <w:p w14:paraId="12E9B959">
      <w:pPr>
        <w:adjustRightInd w:val="0"/>
        <w:snapToGrid w:val="0"/>
        <w:spacing w:line="360" w:lineRule="exact"/>
        <w:ind w:firstLine="406" w:firstLineChars="200"/>
        <w:jc w:val="left"/>
        <w:rPr>
          <w:rFonts w:ascii="宋体" w:hAnsi="宋体" w:cs="宋体"/>
          <w:b/>
          <w:bCs/>
          <w:color w:val="auto"/>
          <w:szCs w:val="21"/>
          <w:highlight w:val="none"/>
        </w:rPr>
      </w:pPr>
      <w:r>
        <w:rPr>
          <w:rFonts w:hint="eastAsia" w:ascii="宋体" w:hAnsi="宋体" w:cs="宋体"/>
          <w:b/>
          <w:bCs/>
          <w:spacing w:val="-4"/>
          <w:szCs w:val="21"/>
          <w:highlight w:val="none"/>
        </w:rPr>
        <w:t>1、暂定合同含税总价为</w:t>
      </w:r>
      <w:r>
        <w:rPr>
          <w:rFonts w:hint="eastAsia" w:cs="宋体" w:asciiTheme="minorEastAsia" w:hAnsiTheme="minorEastAsia" w:eastAsiaTheme="minorEastAsia"/>
          <w:b/>
          <w:color w:val="000000"/>
          <w:szCs w:val="21"/>
          <w:highlight w:val="none"/>
        </w:rPr>
        <w:t>（人民币，下同）：</w:t>
      </w:r>
      <w:r>
        <w:rPr>
          <w:rFonts w:hint="eastAsia" w:cs="宋体" w:asciiTheme="minorEastAsia" w:hAnsiTheme="minorEastAsia" w:eastAsiaTheme="minorEastAsia"/>
          <w:b/>
          <w:color w:val="000000"/>
          <w:szCs w:val="21"/>
          <w:highlight w:val="none"/>
          <w:u w:val="single"/>
        </w:rPr>
        <w:t xml:space="preserve">             元</w:t>
      </w:r>
      <w:r>
        <w:rPr>
          <w:rFonts w:hint="eastAsia" w:cs="宋体" w:asciiTheme="minorEastAsia" w:hAnsiTheme="minorEastAsia" w:eastAsiaTheme="minorEastAsia"/>
          <w:b/>
          <w:color w:val="000000"/>
          <w:szCs w:val="21"/>
          <w:highlight w:val="none"/>
        </w:rPr>
        <w:t>（小写       ）</w:t>
      </w:r>
      <w:r>
        <w:rPr>
          <w:rFonts w:hint="eastAsia" w:ascii="宋体" w:hAnsi="宋体" w:cs="宋体"/>
          <w:b/>
          <w:bCs/>
          <w:spacing w:val="-4"/>
          <w:szCs w:val="21"/>
          <w:highlight w:val="none"/>
        </w:rPr>
        <w:t>。暂定建筑</w:t>
      </w:r>
      <w:r>
        <w:rPr>
          <w:rFonts w:hint="eastAsia" w:ascii="宋体" w:hAnsi="宋体" w:cs="宋体"/>
          <w:b/>
          <w:bCs/>
          <w:color w:val="auto"/>
          <w:spacing w:val="-4"/>
          <w:szCs w:val="21"/>
          <w:highlight w:val="none"/>
        </w:rPr>
        <w:t>面积为</w:t>
      </w:r>
      <w:r>
        <w:rPr>
          <w:rFonts w:hint="eastAsia" w:ascii="宋体" w:hAnsi="宋体" w:cs="宋体"/>
          <w:b/>
          <w:bCs/>
          <w:color w:val="auto"/>
          <w:spacing w:val="-4"/>
          <w:szCs w:val="21"/>
          <w:highlight w:val="none"/>
          <w:u w:val="single"/>
          <w:lang w:val="en-US" w:eastAsia="zh-CN"/>
        </w:rPr>
        <w:t>18000</w:t>
      </w:r>
      <w:r>
        <w:rPr>
          <w:rFonts w:hint="eastAsia" w:ascii="宋体" w:hAnsi="宋体" w:cs="宋体"/>
          <w:b/>
          <w:bCs/>
          <w:color w:val="auto"/>
          <w:spacing w:val="-4"/>
          <w:szCs w:val="21"/>
          <w:highlight w:val="none"/>
          <w:u w:val="single"/>
        </w:rPr>
        <w:t>㎡</w:t>
      </w:r>
      <w:r>
        <w:rPr>
          <w:rFonts w:hint="eastAsia" w:ascii="宋体" w:hAnsi="宋体" w:cs="宋体"/>
          <w:b/>
          <w:bCs/>
          <w:color w:val="auto"/>
          <w:szCs w:val="21"/>
          <w:highlight w:val="none"/>
        </w:rPr>
        <w:t>。</w:t>
      </w:r>
    </w:p>
    <w:p w14:paraId="04321365">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eastAsia="宋体" w:cs="Arial"/>
          <w:color w:val="auto"/>
          <w:szCs w:val="21"/>
          <w:lang w:eastAsia="zh-CN"/>
        </w:rPr>
      </w:pPr>
      <w:r>
        <w:rPr>
          <w:rFonts w:hint="eastAsia" w:ascii="宋体" w:cs="Arial"/>
          <w:color w:val="auto"/>
          <w:szCs w:val="21"/>
        </w:rPr>
        <w:t>合同总价包括</w:t>
      </w:r>
      <w:r>
        <w:rPr>
          <w:rFonts w:hint="eastAsia" w:ascii="宋体" w:hAnsi="宋体" w:cs="宋体"/>
          <w:color w:val="auto"/>
          <w:szCs w:val="21"/>
        </w:rPr>
        <w:t>应包括</w:t>
      </w:r>
      <w:r>
        <w:rPr>
          <w:rFonts w:hint="eastAsia" w:ascii="宋体" w:cs="Arial"/>
          <w:color w:val="auto"/>
          <w:szCs w:val="21"/>
        </w:rPr>
        <w:t>询价通知书</w:t>
      </w:r>
      <w:r>
        <w:rPr>
          <w:rFonts w:hint="eastAsia" w:ascii="宋体" w:hAnsi="宋体" w:cs="宋体"/>
          <w:color w:val="auto"/>
          <w:szCs w:val="21"/>
        </w:rPr>
        <w:t>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381C73D9">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本项目为固定</w:t>
      </w:r>
      <w:r>
        <w:rPr>
          <w:rFonts w:hint="eastAsia" w:ascii="宋体" w:hAnsi="宋体" w:cs="宋体"/>
          <w:szCs w:val="21"/>
          <w:lang w:val="en-US" w:eastAsia="zh-CN"/>
        </w:rPr>
        <w:t>总价</w:t>
      </w:r>
      <w:r>
        <w:rPr>
          <w:rFonts w:hint="eastAsia" w:ascii="宋体" w:hAnsi="宋体" w:cs="宋体"/>
          <w:szCs w:val="21"/>
        </w:rPr>
        <w:t>合同。</w:t>
      </w:r>
    </w:p>
    <w:p w14:paraId="630E39D7">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特别说明：</w:t>
      </w:r>
    </w:p>
    <w:p w14:paraId="658C8FE4">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（1）若以联合体中标的，</w:t>
      </w:r>
      <w:bookmarkStart w:id="4" w:name="_Hlk197521562"/>
      <w:r>
        <w:rPr>
          <w:rFonts w:hint="eastAsia" w:ascii="宋体" w:hAnsi="宋体" w:cs="宋体"/>
          <w:szCs w:val="21"/>
        </w:rPr>
        <w:t>需明确各费用的结算、收款单位</w:t>
      </w:r>
      <w:bookmarkEnd w:id="4"/>
      <w:r>
        <w:rPr>
          <w:rFonts w:hint="eastAsia" w:ascii="宋体" w:hAnsi="宋体" w:cs="宋体"/>
          <w:szCs w:val="21"/>
        </w:rPr>
        <w:t>，并向发甲方单位开具相应的发票。</w:t>
      </w:r>
    </w:p>
    <w:p w14:paraId="3DD8B183">
      <w:pPr>
        <w:adjustRightInd w:val="0"/>
        <w:snapToGrid w:val="0"/>
        <w:spacing w:line="360" w:lineRule="exact"/>
        <w:ind w:firstLine="406" w:firstLineChars="200"/>
        <w:jc w:val="left"/>
        <w:rPr>
          <w:rFonts w:ascii="宋体" w:hAnsi="宋体" w:cs="宋体"/>
          <w:b/>
          <w:bCs/>
          <w:spacing w:val="-4"/>
          <w:szCs w:val="21"/>
          <w:u w:val="single"/>
        </w:rPr>
      </w:pPr>
      <w:r>
        <w:rPr>
          <w:rFonts w:hint="eastAsia" w:ascii="宋体" w:hAnsi="宋体" w:cs="宋体"/>
          <w:b/>
          <w:bCs/>
          <w:spacing w:val="-4"/>
          <w:szCs w:val="21"/>
        </w:rPr>
        <w:t>现场检测</w:t>
      </w:r>
      <w:r>
        <w:rPr>
          <w:rFonts w:hint="eastAsia" w:ascii="宋体" w:hAnsi="宋体" w:cs="宋体"/>
          <w:b/>
          <w:bCs/>
          <w:szCs w:val="21"/>
        </w:rPr>
        <w:t>：                        ；</w:t>
      </w:r>
    </w:p>
    <w:p w14:paraId="5C025CDE">
      <w:pPr>
        <w:adjustRightInd w:val="0"/>
        <w:snapToGrid w:val="0"/>
        <w:spacing w:line="360" w:lineRule="exact"/>
        <w:ind w:firstLine="406" w:firstLineChars="200"/>
        <w:jc w:val="left"/>
        <w:rPr>
          <w:rFonts w:ascii="宋体" w:hAnsi="宋体" w:cs="宋体"/>
          <w:b/>
          <w:bCs/>
          <w:szCs w:val="21"/>
        </w:rPr>
      </w:pPr>
      <w:r>
        <w:rPr>
          <w:rFonts w:hint="eastAsia" w:ascii="宋体" w:hAnsi="宋体" w:cs="宋体"/>
          <w:b/>
          <w:bCs/>
          <w:spacing w:val="-4"/>
          <w:szCs w:val="21"/>
        </w:rPr>
        <w:t>安全鉴定</w:t>
      </w:r>
      <w:r>
        <w:rPr>
          <w:rFonts w:hint="eastAsia" w:ascii="宋体" w:hAnsi="宋体" w:cs="宋体"/>
          <w:b/>
          <w:bCs/>
          <w:szCs w:val="21"/>
        </w:rPr>
        <w:t>：                        ；</w:t>
      </w:r>
    </w:p>
    <w:p w14:paraId="1AF07433">
      <w:pPr>
        <w:adjustRightInd w:val="0"/>
        <w:snapToGrid w:val="0"/>
        <w:spacing w:line="360" w:lineRule="exact"/>
        <w:ind w:firstLine="406" w:firstLineChars="200"/>
        <w:jc w:val="left"/>
        <w:rPr>
          <w:rFonts w:ascii="宋体" w:hAnsi="宋体" w:cs="宋体"/>
          <w:b/>
          <w:bCs/>
          <w:szCs w:val="21"/>
        </w:rPr>
      </w:pPr>
      <w:r>
        <w:rPr>
          <w:rFonts w:hint="eastAsia" w:ascii="宋体" w:hAnsi="宋体" w:cs="宋体"/>
          <w:b/>
          <w:bCs/>
          <w:spacing w:val="-4"/>
          <w:szCs w:val="21"/>
        </w:rPr>
        <w:t>消防评估</w:t>
      </w:r>
      <w:r>
        <w:rPr>
          <w:rFonts w:hint="eastAsia" w:ascii="宋体" w:hAnsi="宋体" w:cs="宋体"/>
          <w:b/>
          <w:bCs/>
          <w:szCs w:val="21"/>
        </w:rPr>
        <w:t>：                        ；</w:t>
      </w:r>
    </w:p>
    <w:p w14:paraId="2E759342">
      <w:pPr>
        <w:tabs>
          <w:tab w:val="left" w:pos="90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（2）常州市公安局仅作为统一招标主体，为了保证成本归集原则，结算时将按各项目所属产权主体分别结算，付款方式及结算方式以合同为准。</w:t>
      </w:r>
    </w:p>
    <w:p w14:paraId="17EE6731">
      <w:pPr>
        <w:adjustRightInd w:val="0"/>
        <w:snapToGrid w:val="0"/>
        <w:spacing w:line="360" w:lineRule="exact"/>
        <w:ind w:firstLine="422" w:firstLineChars="200"/>
        <w:jc w:val="left"/>
        <w:rPr>
          <w:rFonts w:ascii="宋体" w:hAnsi="宋体" w:cs="宋体"/>
          <w:b/>
          <w:color w:val="auto"/>
          <w:szCs w:val="21"/>
        </w:rPr>
      </w:pPr>
      <w:r>
        <w:rPr>
          <w:rFonts w:hint="eastAsia" w:ascii="宋体" w:hAnsi="宋体" w:cs="宋体"/>
          <w:b/>
          <w:color w:val="auto"/>
          <w:szCs w:val="21"/>
        </w:rPr>
        <w:t>2、合同款支付</w:t>
      </w:r>
    </w:p>
    <w:p w14:paraId="72EF6657">
      <w:pPr>
        <w:spacing w:line="360" w:lineRule="exact"/>
        <w:ind w:firstLine="420" w:firstLineChars="200"/>
        <w:outlineLvl w:val="1"/>
        <w:rPr>
          <w:rFonts w:hint="eastAsia" w:asciiTheme="minorEastAsia" w:hAnsiTheme="minorEastAsia" w:eastAsiaTheme="minorEastAsia" w:cstheme="minorEastAsia"/>
          <w:bCs/>
          <w:color w:val="auto"/>
          <w:szCs w:val="21"/>
          <w:lang w:eastAsia="zh-CN"/>
        </w:rPr>
      </w:pPr>
      <w:r>
        <w:rPr>
          <w:rFonts w:hint="eastAsia" w:asciiTheme="minorEastAsia" w:hAnsiTheme="minorEastAsia" w:eastAsiaTheme="minorEastAsia" w:cstheme="minorEastAsia"/>
          <w:bCs/>
          <w:color w:val="auto"/>
          <w:szCs w:val="21"/>
        </w:rPr>
        <w:t>（1）相关检测报告和消防评估报告出具并验收合格后，一次性支付所有项目款</w:t>
      </w:r>
      <w:r>
        <w:rPr>
          <w:rFonts w:hint="eastAsia" w:asciiTheme="minorEastAsia" w:hAnsiTheme="minorEastAsia" w:eastAsiaTheme="minorEastAsia" w:cstheme="minorEastAsia"/>
          <w:bCs/>
          <w:color w:val="auto"/>
          <w:szCs w:val="21"/>
          <w:lang w:eastAsia="zh-CN"/>
        </w:rPr>
        <w:t>。</w:t>
      </w:r>
    </w:p>
    <w:p w14:paraId="2574556B">
      <w:pPr>
        <w:spacing w:line="360" w:lineRule="exact"/>
        <w:ind w:firstLine="420" w:firstLineChars="200"/>
        <w:outlineLvl w:val="1"/>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2）联合体收款单位完成收取服务费时，向甲方开具增值税专用发票，甲方凭联合体收款单位提供的增值税专用发票支付相应服务费，如联合体收款单位未按约定提供合法、有效、完整、准确的增值税专用发票，甲方有权迟延支付应付款项直至对方开具合格增值税发票，甲方不承担任何违约责任，乙方的各项合同义务仍应按合同约定履行。</w:t>
      </w:r>
    </w:p>
    <w:p w14:paraId="71F6876D">
      <w:pPr>
        <w:spacing w:line="360" w:lineRule="exact"/>
        <w:ind w:firstLine="420" w:firstLineChars="200"/>
        <w:outlineLvl w:val="1"/>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3）联合体收款单位须在开具增值税专用发票之日起15天内将增值税专用发票送达甲方，甲方签收增值税专用发票的日期为增值税专用发票的送达或签收日期。联合体收款单位开具的增值税专用发票不合格的，应在接到甲方要求后的15天内重新开具合格的增值税专用发票并送达至甲方，联合体收款单位自行承担相关费用。</w:t>
      </w:r>
    </w:p>
    <w:p w14:paraId="7BD8215B">
      <w:pPr>
        <w:spacing w:line="360" w:lineRule="exact"/>
        <w:ind w:firstLine="420" w:firstLineChars="200"/>
        <w:outlineLvl w:val="1"/>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（4）联合体收款单位如果不能提供合法、有效、完整、准确的增值税专用发票，甲方有权拒绝支付服务费。</w:t>
      </w:r>
    </w:p>
    <w:p w14:paraId="3CC224A1">
      <w:pPr>
        <w:tabs>
          <w:tab w:val="left" w:pos="1050"/>
        </w:tabs>
        <w:adjustRightInd w:val="0"/>
        <w:snapToGrid w:val="0"/>
        <w:spacing w:line="360" w:lineRule="exact"/>
        <w:jc w:val="left"/>
        <w:rPr>
          <w:rFonts w:ascii="宋体" w:hAnsi="宋体" w:cs="宋体"/>
          <w:b/>
          <w:bCs/>
          <w:szCs w:val="21"/>
        </w:rPr>
      </w:pPr>
      <w:r>
        <w:rPr>
          <w:rFonts w:hint="eastAsia" w:ascii="宋体" w:hAnsi="宋体" w:cs="宋体"/>
          <w:b/>
          <w:bCs/>
          <w:szCs w:val="21"/>
        </w:rPr>
        <w:t>第七条  各方分工及义务</w:t>
      </w:r>
    </w:p>
    <w:p w14:paraId="60152C45">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1、甲方的主要义务：</w:t>
      </w:r>
    </w:p>
    <w:p w14:paraId="41A50D0B">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（1）合同签订后，甲乙双方需提前约定时间进场检测；</w:t>
      </w:r>
    </w:p>
    <w:p w14:paraId="767B30D8">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2）按照本合同约定支付费用，若因甲方资金调度原因，不能按合同约定时间付款，延期付款在六个月内，乙方不得要求甲方承担违约责任。延期付款超过六个月，从超过约定时间的次日起，甲方每日按延迟付款的万分之一按日向联合体主办单位支付应付款的违约金。</w:t>
      </w:r>
    </w:p>
    <w:p w14:paraId="68E8293B">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（3）由甲方落实现场检测清障工作；</w:t>
      </w:r>
    </w:p>
    <w:p w14:paraId="05AAD32A">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（4）负责审核确认乙方检测鉴定方案，并在现场检测时提供必要的协调、协助；甲方有权进入乙方工作场地进行监督，对不符合有关法规和技术标准要求的检测行为，甲方有权责令改正；</w:t>
      </w:r>
    </w:p>
    <w:p w14:paraId="177242FE">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5）甲方应及时准确提供与工程相关的信息，以便乙方出具相应报告。因甲方原因造成委托单位、工程名称、委托人、部位等相关信息错误，致使乙方出具报告错误的,由甲方承担相应责任，并承担相应经济支出；</w:t>
      </w:r>
    </w:p>
    <w:p w14:paraId="7612C366">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（6）甲方应委派一名现场联系人，联系人为</w:t>
      </w:r>
      <w:r>
        <w:rPr>
          <w:rFonts w:hint="eastAsia" w:ascii="宋体" w:hAnsi="宋体" w:cs="宋体"/>
          <w:szCs w:val="21"/>
          <w:u w:val="single"/>
        </w:rPr>
        <w:t>：       ，</w:t>
      </w:r>
      <w:r>
        <w:rPr>
          <w:rFonts w:hint="eastAsia" w:ascii="宋体" w:hAnsi="宋体" w:cs="宋体"/>
          <w:szCs w:val="21"/>
        </w:rPr>
        <w:t xml:space="preserve">电话 </w:t>
      </w:r>
      <w:r>
        <w:rPr>
          <w:rFonts w:hint="eastAsia" w:ascii="宋体" w:hAnsi="宋体" w:cs="宋体"/>
          <w:szCs w:val="21"/>
          <w:u w:val="single"/>
        </w:rPr>
        <w:t>：         。</w:t>
      </w:r>
    </w:p>
    <w:p w14:paraId="59BA9FBC">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2、乙方的主要义务：</w:t>
      </w:r>
    </w:p>
    <w:p w14:paraId="09DB5072">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（1）按期完成甲方委托，调查摸清房屋历史和现状，按期提交检测鉴定方案和政府相关部门认可的检测鉴定报告，检测鉴定报告一式陆份交于甲方。</w:t>
      </w:r>
    </w:p>
    <w:p w14:paraId="42E9A029">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（2）严格按国家规范、标准、操作规程等进行现场勘查、检测，记录各种数据及状况确保数据公正、准确；</w:t>
      </w:r>
    </w:p>
    <w:p w14:paraId="4B963A24">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（3）乙方负责对检测采取必要的安全防护措施，消除安全隐患，对检测的安全、文明等负全部责任，由于乙方安全措施不力，管理不当等造成的事故责任和因此产生的费用均由乙方承担。</w:t>
      </w:r>
    </w:p>
    <w:p w14:paraId="53321841">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（4）协助对甲方的技术进行保密；</w:t>
      </w:r>
    </w:p>
    <w:p w14:paraId="79CD7930">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（5）向甲方提供必要的检测咨询服务以及后续结构加固补强（若有）技术服务和咨询；</w:t>
      </w:r>
    </w:p>
    <w:p w14:paraId="0415A30D">
      <w:pPr>
        <w:tabs>
          <w:tab w:val="left" w:pos="1050"/>
        </w:tabs>
        <w:adjustRightInd w:val="0"/>
        <w:snapToGrid w:val="0"/>
        <w:spacing w:line="360" w:lineRule="exact"/>
        <w:ind w:firstLine="420" w:firstLineChars="200"/>
        <w:jc w:val="left"/>
        <w:rPr>
          <w:rFonts w:ascii="宋体" w:hAnsi="宋体" w:cs="宋体"/>
          <w:szCs w:val="21"/>
          <w:u w:val="single"/>
        </w:rPr>
      </w:pPr>
      <w:r>
        <w:rPr>
          <w:rFonts w:hint="eastAsia" w:ascii="宋体" w:hAnsi="宋体" w:cs="宋体"/>
          <w:szCs w:val="21"/>
        </w:rPr>
        <w:t>（6）乙方应委派一名现场联系人，联系人为</w:t>
      </w:r>
      <w:r>
        <w:rPr>
          <w:rFonts w:hint="eastAsia" w:ascii="宋体" w:hAnsi="宋体" w:cs="宋体"/>
          <w:szCs w:val="21"/>
          <w:u w:val="single"/>
        </w:rPr>
        <w:t>：     ，</w:t>
      </w:r>
      <w:r>
        <w:rPr>
          <w:rFonts w:hint="eastAsia" w:ascii="宋体" w:hAnsi="宋体" w:cs="宋体"/>
          <w:szCs w:val="21"/>
        </w:rPr>
        <w:t>电话</w:t>
      </w:r>
      <w:r>
        <w:rPr>
          <w:rFonts w:hint="eastAsia" w:ascii="宋体" w:hAnsi="宋体" w:cs="宋体"/>
          <w:szCs w:val="21"/>
          <w:u w:val="single"/>
        </w:rPr>
        <w:t>：      ；</w:t>
      </w:r>
    </w:p>
    <w:p w14:paraId="5A61C919">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（7）因乙方原因造成报告错误的，由乙方</w:t>
      </w:r>
      <w:r>
        <w:rPr>
          <w:rFonts w:hint="eastAsia" w:ascii="宋体" w:hAnsi="宋体" w:cs="宋体"/>
          <w:szCs w:val="21"/>
          <w:lang w:bidi="ar"/>
        </w:rPr>
        <w:t>连带</w:t>
      </w:r>
      <w:r>
        <w:rPr>
          <w:rFonts w:hint="eastAsia" w:ascii="宋体" w:hAnsi="宋体" w:cs="宋体"/>
          <w:szCs w:val="21"/>
        </w:rPr>
        <w:t>承担相应责任，并承担相应经济支出；</w:t>
      </w:r>
    </w:p>
    <w:p w14:paraId="7B3989EA">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（8）通过现场勘察调研、相关部门调取资料，结合现有的政策条件，出具资产是否具备办证条件、及办证途径的研究报告。</w:t>
      </w:r>
    </w:p>
    <w:p w14:paraId="6928BDC5">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（9）根据权证办理需求出具消防评估报告；</w:t>
      </w:r>
    </w:p>
    <w:p w14:paraId="044F7F03">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（10）按期提交建筑物耐久性监测创新技术的建筑质量检测与安全评估报告。</w:t>
      </w:r>
    </w:p>
    <w:p w14:paraId="32295351">
      <w:pPr>
        <w:adjustRightInd w:val="0"/>
        <w:snapToGrid w:val="0"/>
        <w:spacing w:line="360" w:lineRule="exact"/>
        <w:jc w:val="left"/>
        <w:rPr>
          <w:rFonts w:ascii="宋体" w:hAnsi="宋体" w:cs="宋体"/>
          <w:b/>
          <w:szCs w:val="21"/>
        </w:rPr>
      </w:pPr>
      <w:r>
        <w:rPr>
          <w:rFonts w:hint="eastAsia" w:ascii="宋体" w:hAnsi="宋体" w:cs="宋体"/>
          <w:b/>
          <w:szCs w:val="21"/>
          <w:lang w:bidi="ar"/>
        </w:rPr>
        <w:t>第八条  违约责任</w:t>
      </w:r>
    </w:p>
    <w:p w14:paraId="43B1DBB5">
      <w:pPr>
        <w:adjustRightInd w:val="0"/>
        <w:snapToGrid w:val="0"/>
        <w:spacing w:line="360" w:lineRule="exact"/>
        <w:ind w:firstLine="480"/>
        <w:jc w:val="left"/>
        <w:rPr>
          <w:rFonts w:ascii="宋体" w:hAnsi="宋体" w:cs="宋体"/>
          <w:szCs w:val="21"/>
        </w:rPr>
      </w:pPr>
      <w:r>
        <w:rPr>
          <w:rFonts w:hint="eastAsia" w:ascii="宋体" w:hAnsi="宋体" w:cs="宋体"/>
          <w:szCs w:val="21"/>
          <w:lang w:bidi="ar"/>
        </w:rPr>
        <w:t>若因一方原因导致合同不能履行，由此给对方造成的损失由违约方承担。守约方主张债权产生的费用（包括但不限于诉讼费/仲裁费、律师费、保全费、保全担保费、执行费等）全部由违约方承担。</w:t>
      </w:r>
    </w:p>
    <w:p w14:paraId="36279162">
      <w:pPr>
        <w:tabs>
          <w:tab w:val="left" w:pos="1050"/>
        </w:tabs>
        <w:adjustRightInd w:val="0"/>
        <w:snapToGrid w:val="0"/>
        <w:spacing w:line="360" w:lineRule="exact"/>
        <w:jc w:val="left"/>
        <w:rPr>
          <w:rFonts w:ascii="宋体" w:hAnsi="宋体" w:cs="宋体"/>
          <w:b/>
          <w:bCs/>
          <w:szCs w:val="21"/>
        </w:rPr>
      </w:pPr>
      <w:r>
        <w:rPr>
          <w:rFonts w:hint="eastAsia" w:ascii="宋体" w:hAnsi="宋体" w:cs="宋体"/>
          <w:b/>
          <w:bCs/>
          <w:szCs w:val="21"/>
        </w:rPr>
        <w:t>第九条  争议解决方式</w:t>
      </w:r>
    </w:p>
    <w:p w14:paraId="41B2E0AE">
      <w:pPr>
        <w:tabs>
          <w:tab w:val="left" w:pos="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本合同在履行过程中发生的争议，由各方友好协商解决，协商或者经调解仍然不能解决的，任何一方均可以按照下列第</w:t>
      </w:r>
      <w:r>
        <w:rPr>
          <w:rFonts w:hint="eastAsia" w:ascii="宋体" w:hAnsi="宋体" w:cs="宋体"/>
          <w:szCs w:val="21"/>
          <w:u w:val="single"/>
        </w:rPr>
        <w:t xml:space="preserve"> 1</w:t>
      </w:r>
      <w:r>
        <w:rPr>
          <w:rFonts w:hint="eastAsia" w:ascii="宋体" w:hAnsi="宋体" w:cs="宋体"/>
          <w:szCs w:val="21"/>
        </w:rPr>
        <w:t>种方式解决：</w:t>
      </w:r>
    </w:p>
    <w:p w14:paraId="46252989">
      <w:pPr>
        <w:tabs>
          <w:tab w:val="left" w:pos="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1、提交常州仲裁委员会仲裁；</w:t>
      </w:r>
    </w:p>
    <w:p w14:paraId="3553D253">
      <w:pPr>
        <w:tabs>
          <w:tab w:val="left" w:pos="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2、依法向原告所在地人民法院提起诉讼。</w:t>
      </w:r>
    </w:p>
    <w:p w14:paraId="37BC889F">
      <w:pPr>
        <w:adjustRightInd w:val="0"/>
        <w:snapToGrid w:val="0"/>
        <w:spacing w:line="360" w:lineRule="exact"/>
        <w:jc w:val="left"/>
        <w:rPr>
          <w:rFonts w:ascii="宋体" w:hAnsi="宋体" w:cs="宋体"/>
          <w:b/>
          <w:bCs/>
          <w:szCs w:val="21"/>
        </w:rPr>
      </w:pPr>
      <w:r>
        <w:rPr>
          <w:rFonts w:hint="eastAsia" w:ascii="宋体" w:hAnsi="宋体" w:cs="宋体"/>
          <w:b/>
          <w:bCs/>
          <w:szCs w:val="21"/>
        </w:rPr>
        <w:t>第十条  合同文件组成</w:t>
      </w:r>
    </w:p>
    <w:p w14:paraId="3909F929">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1、组成本合同的文件及优先解释顺序如下：</w:t>
      </w:r>
    </w:p>
    <w:p w14:paraId="110949C2">
      <w:pPr>
        <w:adjustRightInd w:val="0"/>
        <w:snapToGrid w:val="0"/>
        <w:spacing w:line="360" w:lineRule="exact"/>
        <w:ind w:firstLine="420" w:firstLineChars="200"/>
        <w:jc w:val="left"/>
        <w:rPr>
          <w:rFonts w:ascii="宋体" w:hAnsi="宋体" w:cs="宋体"/>
          <w:bCs/>
          <w:szCs w:val="21"/>
        </w:rPr>
      </w:pPr>
      <w:r>
        <w:rPr>
          <w:rFonts w:hint="eastAsia" w:ascii="宋体" w:hAnsi="宋体" w:cs="宋体"/>
          <w:bCs/>
          <w:szCs w:val="21"/>
        </w:rPr>
        <w:t>（1）中标（成交）通知书；</w:t>
      </w:r>
    </w:p>
    <w:p w14:paraId="3F8C8A14">
      <w:pPr>
        <w:adjustRightInd w:val="0"/>
        <w:snapToGrid w:val="0"/>
        <w:spacing w:line="360" w:lineRule="exact"/>
        <w:ind w:firstLine="420" w:firstLineChars="200"/>
        <w:jc w:val="left"/>
        <w:rPr>
          <w:rFonts w:ascii="宋体" w:hAnsi="宋体" w:cs="宋体"/>
          <w:bCs/>
          <w:szCs w:val="21"/>
        </w:rPr>
      </w:pPr>
      <w:r>
        <w:rPr>
          <w:rFonts w:hint="eastAsia" w:ascii="宋体" w:hAnsi="宋体" w:cs="宋体"/>
          <w:bCs/>
          <w:szCs w:val="21"/>
        </w:rPr>
        <w:t>（2）本合同协议书；</w:t>
      </w:r>
    </w:p>
    <w:p w14:paraId="655539FD">
      <w:pPr>
        <w:adjustRightInd w:val="0"/>
        <w:snapToGrid w:val="0"/>
        <w:spacing w:line="360" w:lineRule="exact"/>
        <w:ind w:firstLine="420" w:firstLineChars="200"/>
        <w:jc w:val="left"/>
        <w:rPr>
          <w:rFonts w:ascii="宋体" w:hAnsi="宋体" w:cs="宋体"/>
          <w:bCs/>
          <w:szCs w:val="21"/>
        </w:rPr>
      </w:pPr>
      <w:r>
        <w:rPr>
          <w:rFonts w:hint="eastAsia" w:ascii="宋体" w:hAnsi="宋体" w:cs="宋体"/>
          <w:bCs/>
          <w:szCs w:val="21"/>
        </w:rPr>
        <w:t>（3）投标文件；</w:t>
      </w:r>
    </w:p>
    <w:p w14:paraId="2F9E9311">
      <w:pPr>
        <w:adjustRightInd w:val="0"/>
        <w:snapToGrid w:val="0"/>
        <w:spacing w:line="360" w:lineRule="exact"/>
        <w:ind w:firstLine="420" w:firstLineChars="200"/>
        <w:jc w:val="left"/>
        <w:rPr>
          <w:rFonts w:ascii="宋体" w:hAnsi="宋体" w:cs="宋体"/>
          <w:bCs/>
          <w:szCs w:val="21"/>
        </w:rPr>
      </w:pPr>
      <w:r>
        <w:rPr>
          <w:rFonts w:hint="eastAsia" w:ascii="宋体" w:hAnsi="宋体" w:cs="宋体"/>
          <w:bCs/>
          <w:szCs w:val="21"/>
        </w:rPr>
        <w:t>（4）在招投标过程中所作的其它承诺、声明、书面澄清等；</w:t>
      </w:r>
    </w:p>
    <w:p w14:paraId="0FF60457">
      <w:pPr>
        <w:adjustRightInd w:val="0"/>
        <w:snapToGrid w:val="0"/>
        <w:spacing w:line="360" w:lineRule="exact"/>
        <w:ind w:firstLine="420" w:firstLineChars="200"/>
        <w:jc w:val="left"/>
        <w:rPr>
          <w:rFonts w:ascii="宋体" w:hAnsi="宋体" w:cs="宋体"/>
          <w:bCs/>
          <w:szCs w:val="21"/>
        </w:rPr>
      </w:pPr>
      <w:r>
        <w:rPr>
          <w:rFonts w:hint="eastAsia" w:ascii="宋体" w:hAnsi="宋体" w:cs="宋体"/>
          <w:bCs/>
          <w:szCs w:val="21"/>
        </w:rPr>
        <w:t>（5）</w:t>
      </w:r>
      <w:r>
        <w:rPr>
          <w:rFonts w:hint="eastAsia" w:ascii="宋体" w:hAnsi="宋体" w:cs="宋体"/>
          <w:bCs/>
          <w:szCs w:val="21"/>
          <w:lang w:eastAsia="zh-CN"/>
        </w:rPr>
        <w:t>竞争性磋商文件</w:t>
      </w:r>
      <w:r>
        <w:rPr>
          <w:rFonts w:hint="eastAsia" w:ascii="宋体" w:hAnsi="宋体" w:cs="宋体"/>
          <w:bCs/>
          <w:szCs w:val="21"/>
        </w:rPr>
        <w:t>及其附件；</w:t>
      </w:r>
    </w:p>
    <w:p w14:paraId="07104241">
      <w:pPr>
        <w:adjustRightInd w:val="0"/>
        <w:snapToGrid w:val="0"/>
        <w:spacing w:line="360" w:lineRule="exact"/>
        <w:ind w:firstLine="420" w:firstLineChars="200"/>
        <w:jc w:val="left"/>
        <w:rPr>
          <w:rFonts w:ascii="宋体" w:hAnsi="宋体" w:cs="宋体"/>
          <w:bCs/>
          <w:szCs w:val="21"/>
        </w:rPr>
      </w:pPr>
      <w:r>
        <w:rPr>
          <w:rFonts w:hint="eastAsia" w:ascii="宋体" w:hAnsi="宋体" w:cs="宋体"/>
          <w:bCs/>
          <w:szCs w:val="21"/>
        </w:rPr>
        <w:t>（6）合同履行中，各方有关工程的洽商、变更等书面协议或文件视为本合同的组成部分。</w:t>
      </w:r>
    </w:p>
    <w:p w14:paraId="01AB3EC3">
      <w:pPr>
        <w:adjustRightInd w:val="0"/>
        <w:snapToGrid w:val="0"/>
        <w:spacing w:line="360" w:lineRule="exact"/>
        <w:jc w:val="left"/>
        <w:rPr>
          <w:rFonts w:ascii="宋体" w:hAnsi="宋体" w:cs="宋体"/>
          <w:szCs w:val="21"/>
        </w:rPr>
      </w:pPr>
      <w:r>
        <w:rPr>
          <w:rFonts w:hint="eastAsia" w:ascii="宋体" w:hAnsi="宋体" w:cs="宋体"/>
          <w:b/>
          <w:bCs/>
          <w:szCs w:val="21"/>
        </w:rPr>
        <w:t>第十一条  合同生效</w:t>
      </w:r>
    </w:p>
    <w:p w14:paraId="52F7D4BD">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1、合同订立时间：</w:t>
      </w:r>
      <w:r>
        <w:rPr>
          <w:rFonts w:hint="eastAsia" w:ascii="宋体" w:hAnsi="宋体" w:cs="宋体"/>
          <w:szCs w:val="21"/>
          <w:u w:val="single"/>
        </w:rPr>
        <w:t xml:space="preserve">    年   月    日</w:t>
      </w:r>
    </w:p>
    <w:p w14:paraId="2B48ACD1">
      <w:pPr>
        <w:adjustRightInd w:val="0"/>
        <w:snapToGrid w:val="0"/>
        <w:spacing w:line="360" w:lineRule="exact"/>
        <w:ind w:firstLine="420" w:firstLineChars="200"/>
        <w:jc w:val="left"/>
        <w:rPr>
          <w:rFonts w:ascii="宋体" w:hAnsi="宋体" w:cs="宋体"/>
          <w:szCs w:val="21"/>
          <w:u w:val="single"/>
        </w:rPr>
      </w:pPr>
      <w:r>
        <w:rPr>
          <w:rFonts w:hint="eastAsia" w:ascii="宋体" w:hAnsi="宋体" w:cs="宋体"/>
          <w:szCs w:val="21"/>
        </w:rPr>
        <w:t>2、合同订立地点：</w:t>
      </w:r>
      <w:r>
        <w:rPr>
          <w:rFonts w:hint="eastAsia" w:ascii="宋体" w:hAnsi="宋体" w:cs="宋体"/>
          <w:szCs w:val="21"/>
          <w:u w:val="single"/>
        </w:rPr>
        <w:t xml:space="preserve">                 </w:t>
      </w:r>
    </w:p>
    <w:p w14:paraId="6E474CD7">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3、本合同自经甲乙各方授权代表签订并加盖公章后，自签订之日起生效。如有变动，必须经各方协商一致后，方可更改。本合同一式</w:t>
      </w:r>
      <w:r>
        <w:rPr>
          <w:rFonts w:hint="eastAsia" w:ascii="宋体" w:hAnsi="宋体" w:cs="宋体"/>
          <w:szCs w:val="21"/>
          <w:lang w:val="en-US" w:eastAsia="zh-CN"/>
        </w:rPr>
        <w:t>肆</w:t>
      </w:r>
      <w:r>
        <w:rPr>
          <w:rFonts w:hint="eastAsia" w:ascii="宋体" w:hAnsi="宋体" w:cs="宋体"/>
          <w:szCs w:val="21"/>
        </w:rPr>
        <w:t>份，甲乙各方各执贰份。</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2"/>
      </w:tblGrid>
      <w:tr w14:paraId="62538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5ECB59CA">
            <w:pPr>
              <w:snapToGrid w:val="0"/>
              <w:spacing w:line="360" w:lineRule="exact"/>
              <w:rPr>
                <w:rFonts w:ascii="宋体" w:hAnsi="宋体" w:cs="宋体"/>
                <w:szCs w:val="21"/>
              </w:rPr>
            </w:pPr>
            <w:r>
              <w:rPr>
                <w:rFonts w:hint="eastAsia" w:ascii="宋体" w:hAnsi="宋体" w:cs="宋体"/>
                <w:b/>
                <w:bCs/>
                <w:szCs w:val="21"/>
              </w:rPr>
              <w:t>甲方</w:t>
            </w:r>
            <w:r>
              <w:rPr>
                <w:rFonts w:hint="eastAsia" w:ascii="宋体" w:hAnsi="宋体" w:cs="宋体"/>
                <w:szCs w:val="21"/>
              </w:rPr>
              <w:t>：</w:t>
            </w:r>
          </w:p>
          <w:p w14:paraId="5BE28DCA">
            <w:pPr>
              <w:snapToGrid w:val="0"/>
              <w:spacing w:line="360" w:lineRule="exact"/>
              <w:rPr>
                <w:rFonts w:ascii="宋体" w:hAnsi="宋体" w:cs="宋体"/>
                <w:szCs w:val="21"/>
              </w:rPr>
            </w:pPr>
            <w:r>
              <w:rPr>
                <w:rFonts w:hint="eastAsia" w:ascii="宋体" w:hAnsi="宋体" w:cs="宋体"/>
                <w:szCs w:val="21"/>
              </w:rPr>
              <w:t>单位名称（章）：</w:t>
            </w:r>
          </w:p>
          <w:p w14:paraId="7C6D0006">
            <w:pPr>
              <w:snapToGrid w:val="0"/>
              <w:spacing w:line="360" w:lineRule="exact"/>
              <w:rPr>
                <w:rFonts w:ascii="宋体" w:hAnsi="宋体" w:cs="宋体"/>
                <w:szCs w:val="21"/>
              </w:rPr>
            </w:pPr>
            <w:r>
              <w:rPr>
                <w:rFonts w:hint="eastAsia" w:ascii="宋体" w:hAnsi="宋体" w:cs="宋体"/>
                <w:szCs w:val="21"/>
              </w:rPr>
              <w:t>单位地址：</w:t>
            </w:r>
          </w:p>
          <w:p w14:paraId="472C710F">
            <w:pPr>
              <w:snapToGrid w:val="0"/>
              <w:spacing w:line="360" w:lineRule="exact"/>
              <w:rPr>
                <w:rFonts w:ascii="宋体" w:hAnsi="宋体" w:cs="宋体"/>
                <w:szCs w:val="21"/>
              </w:rPr>
            </w:pPr>
            <w:r>
              <w:rPr>
                <w:rFonts w:hint="eastAsia" w:ascii="宋体" w:hAnsi="宋体" w:cs="宋体"/>
                <w:szCs w:val="21"/>
              </w:rPr>
              <w:t>法定代表人：</w:t>
            </w:r>
          </w:p>
          <w:p w14:paraId="6A8B4CC0">
            <w:pPr>
              <w:snapToGrid w:val="0"/>
              <w:spacing w:line="360" w:lineRule="exact"/>
              <w:rPr>
                <w:rFonts w:ascii="宋体" w:hAnsi="宋体" w:cs="宋体"/>
                <w:szCs w:val="21"/>
              </w:rPr>
            </w:pPr>
            <w:r>
              <w:rPr>
                <w:rFonts w:hint="eastAsia" w:ascii="宋体" w:hAnsi="宋体" w:cs="宋体"/>
                <w:szCs w:val="21"/>
              </w:rPr>
              <w:t>电话：</w:t>
            </w:r>
          </w:p>
          <w:p w14:paraId="506B8C77">
            <w:pPr>
              <w:snapToGrid w:val="0"/>
              <w:spacing w:line="360" w:lineRule="exact"/>
              <w:rPr>
                <w:rFonts w:ascii="宋体" w:hAnsi="宋体" w:cs="宋体"/>
                <w:szCs w:val="21"/>
              </w:rPr>
            </w:pPr>
          </w:p>
        </w:tc>
        <w:tc>
          <w:tcPr>
            <w:tcW w:w="4262" w:type="dxa"/>
          </w:tcPr>
          <w:p w14:paraId="7558DA0F">
            <w:pPr>
              <w:snapToGrid w:val="0"/>
              <w:spacing w:line="360" w:lineRule="exact"/>
              <w:rPr>
                <w:rFonts w:ascii="宋体" w:hAnsi="宋体" w:cs="宋体"/>
                <w:szCs w:val="21"/>
              </w:rPr>
            </w:pPr>
            <w:r>
              <w:rPr>
                <w:rFonts w:hint="eastAsia" w:ascii="宋体" w:hAnsi="宋体" w:cs="宋体"/>
                <w:b/>
                <w:bCs/>
                <w:szCs w:val="21"/>
              </w:rPr>
              <w:t>乙方1</w:t>
            </w:r>
            <w:r>
              <w:rPr>
                <w:rFonts w:hint="eastAsia" w:ascii="宋体" w:hAnsi="宋体" w:cs="宋体"/>
                <w:szCs w:val="21"/>
              </w:rPr>
              <w:t>：</w:t>
            </w:r>
          </w:p>
          <w:p w14:paraId="7B620305">
            <w:pPr>
              <w:snapToGrid w:val="0"/>
              <w:spacing w:line="360" w:lineRule="exact"/>
              <w:rPr>
                <w:rFonts w:ascii="宋体" w:hAnsi="宋体" w:cs="宋体"/>
                <w:szCs w:val="21"/>
              </w:rPr>
            </w:pPr>
            <w:r>
              <w:rPr>
                <w:rFonts w:hint="eastAsia" w:ascii="宋体" w:hAnsi="宋体" w:cs="宋体"/>
                <w:szCs w:val="21"/>
              </w:rPr>
              <w:t>单位名称（章）：</w:t>
            </w:r>
          </w:p>
          <w:p w14:paraId="3E4D539C">
            <w:pPr>
              <w:snapToGrid w:val="0"/>
              <w:spacing w:line="360" w:lineRule="exact"/>
              <w:rPr>
                <w:rFonts w:ascii="宋体" w:hAnsi="宋体" w:cs="宋体"/>
                <w:szCs w:val="21"/>
              </w:rPr>
            </w:pPr>
            <w:r>
              <w:rPr>
                <w:rFonts w:hint="eastAsia" w:ascii="宋体" w:hAnsi="宋体" w:cs="宋体"/>
                <w:szCs w:val="21"/>
              </w:rPr>
              <w:t>单位地址：</w:t>
            </w:r>
          </w:p>
          <w:p w14:paraId="4642C8A2">
            <w:pPr>
              <w:snapToGrid w:val="0"/>
              <w:spacing w:line="360" w:lineRule="exact"/>
              <w:rPr>
                <w:rFonts w:ascii="宋体" w:hAnsi="宋体" w:cs="宋体"/>
                <w:szCs w:val="21"/>
              </w:rPr>
            </w:pPr>
            <w:r>
              <w:rPr>
                <w:rFonts w:hint="eastAsia" w:ascii="宋体" w:hAnsi="宋体" w:cs="宋体"/>
                <w:szCs w:val="21"/>
              </w:rPr>
              <w:t>法定代表人：</w:t>
            </w:r>
          </w:p>
          <w:p w14:paraId="4A819842">
            <w:pPr>
              <w:snapToGrid w:val="0"/>
              <w:spacing w:line="360" w:lineRule="exact"/>
              <w:rPr>
                <w:rFonts w:ascii="宋体" w:hAnsi="宋体" w:cs="宋体"/>
                <w:szCs w:val="21"/>
              </w:rPr>
            </w:pPr>
            <w:r>
              <w:rPr>
                <w:rFonts w:hint="eastAsia" w:ascii="宋体" w:hAnsi="宋体" w:cs="宋体"/>
                <w:szCs w:val="21"/>
              </w:rPr>
              <w:t>电话：</w:t>
            </w:r>
          </w:p>
          <w:p w14:paraId="3241E6B4">
            <w:pPr>
              <w:snapToGrid w:val="0"/>
              <w:spacing w:line="360" w:lineRule="exact"/>
              <w:rPr>
                <w:rFonts w:ascii="宋体" w:hAnsi="宋体" w:cs="宋体"/>
                <w:szCs w:val="21"/>
              </w:rPr>
            </w:pPr>
            <w:r>
              <w:rPr>
                <w:rFonts w:hint="eastAsia" w:ascii="宋体" w:hAnsi="宋体" w:cs="宋体"/>
                <w:szCs w:val="21"/>
              </w:rPr>
              <w:t>开户银行：</w:t>
            </w:r>
          </w:p>
          <w:p w14:paraId="398D78AF">
            <w:pPr>
              <w:snapToGrid w:val="0"/>
              <w:spacing w:line="360" w:lineRule="exact"/>
              <w:rPr>
                <w:rFonts w:ascii="宋体" w:hAnsi="宋体" w:cs="宋体"/>
                <w:szCs w:val="21"/>
              </w:rPr>
            </w:pPr>
            <w:r>
              <w:rPr>
                <w:rFonts w:hint="eastAsia" w:ascii="宋体" w:hAnsi="宋体" w:cs="宋体"/>
                <w:szCs w:val="21"/>
              </w:rPr>
              <w:t>账号：</w:t>
            </w:r>
          </w:p>
        </w:tc>
      </w:tr>
      <w:tr w14:paraId="021EB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4AFF2F44">
            <w:pPr>
              <w:snapToGrid w:val="0"/>
              <w:spacing w:line="360" w:lineRule="exact"/>
              <w:rPr>
                <w:rFonts w:ascii="宋体" w:hAnsi="宋体" w:cs="宋体"/>
                <w:szCs w:val="21"/>
              </w:rPr>
            </w:pPr>
            <w:r>
              <w:rPr>
                <w:rFonts w:hint="eastAsia" w:ascii="宋体" w:hAnsi="宋体" w:cs="宋体"/>
                <w:b/>
                <w:bCs/>
                <w:szCs w:val="21"/>
              </w:rPr>
              <w:t>乙方2</w:t>
            </w:r>
            <w:r>
              <w:rPr>
                <w:rFonts w:hint="eastAsia" w:ascii="宋体" w:hAnsi="宋体" w:cs="宋体"/>
                <w:szCs w:val="21"/>
              </w:rPr>
              <w:t>：</w:t>
            </w:r>
          </w:p>
          <w:p w14:paraId="2779B5DF">
            <w:pPr>
              <w:snapToGrid w:val="0"/>
              <w:spacing w:line="360" w:lineRule="exact"/>
              <w:rPr>
                <w:rFonts w:ascii="宋体" w:hAnsi="宋体" w:cs="宋体"/>
                <w:szCs w:val="21"/>
              </w:rPr>
            </w:pPr>
            <w:r>
              <w:rPr>
                <w:rFonts w:hint="eastAsia" w:ascii="宋体" w:hAnsi="宋体" w:cs="宋体"/>
                <w:szCs w:val="21"/>
              </w:rPr>
              <w:t>单位名称（章）：</w:t>
            </w:r>
          </w:p>
          <w:p w14:paraId="0652DDD9">
            <w:pPr>
              <w:snapToGrid w:val="0"/>
              <w:spacing w:line="360" w:lineRule="exact"/>
              <w:rPr>
                <w:rFonts w:ascii="宋体" w:hAnsi="宋体" w:cs="宋体"/>
                <w:szCs w:val="21"/>
              </w:rPr>
            </w:pPr>
            <w:r>
              <w:rPr>
                <w:rFonts w:hint="eastAsia" w:ascii="宋体" w:hAnsi="宋体" w:cs="宋体"/>
                <w:szCs w:val="21"/>
              </w:rPr>
              <w:t>单位地址：</w:t>
            </w:r>
          </w:p>
          <w:p w14:paraId="5EAF41A2">
            <w:pPr>
              <w:snapToGrid w:val="0"/>
              <w:spacing w:line="360" w:lineRule="exact"/>
              <w:rPr>
                <w:rFonts w:ascii="宋体" w:hAnsi="宋体" w:cs="宋体"/>
                <w:szCs w:val="21"/>
              </w:rPr>
            </w:pPr>
            <w:r>
              <w:rPr>
                <w:rFonts w:hint="eastAsia" w:ascii="宋体" w:hAnsi="宋体" w:cs="宋体"/>
                <w:szCs w:val="21"/>
              </w:rPr>
              <w:t>法定代表人：</w:t>
            </w:r>
          </w:p>
          <w:p w14:paraId="6C170068">
            <w:pPr>
              <w:snapToGrid w:val="0"/>
              <w:spacing w:line="360" w:lineRule="exact"/>
              <w:rPr>
                <w:rFonts w:ascii="宋体" w:hAnsi="宋体" w:cs="宋体"/>
                <w:szCs w:val="21"/>
              </w:rPr>
            </w:pPr>
            <w:r>
              <w:rPr>
                <w:rFonts w:hint="eastAsia" w:ascii="宋体" w:hAnsi="宋体" w:cs="宋体"/>
                <w:szCs w:val="21"/>
              </w:rPr>
              <w:t>电话：</w:t>
            </w:r>
          </w:p>
          <w:p w14:paraId="03441291">
            <w:pPr>
              <w:snapToGrid w:val="0"/>
              <w:spacing w:line="360" w:lineRule="exact"/>
              <w:rPr>
                <w:rFonts w:ascii="宋体" w:hAnsi="宋体" w:cs="宋体"/>
                <w:szCs w:val="21"/>
              </w:rPr>
            </w:pPr>
            <w:r>
              <w:rPr>
                <w:rFonts w:hint="eastAsia" w:ascii="宋体" w:hAnsi="宋体" w:cs="宋体"/>
                <w:szCs w:val="21"/>
              </w:rPr>
              <w:t>开户银行：</w:t>
            </w:r>
          </w:p>
          <w:p w14:paraId="032372FF">
            <w:pPr>
              <w:snapToGrid w:val="0"/>
              <w:spacing w:line="360" w:lineRule="exact"/>
              <w:rPr>
                <w:rFonts w:ascii="宋体" w:hAnsi="宋体" w:cs="宋体"/>
                <w:szCs w:val="21"/>
              </w:rPr>
            </w:pPr>
            <w:r>
              <w:rPr>
                <w:rFonts w:hint="eastAsia" w:ascii="宋体" w:hAnsi="宋体" w:cs="宋体"/>
                <w:szCs w:val="21"/>
              </w:rPr>
              <w:t>账号：</w:t>
            </w:r>
          </w:p>
        </w:tc>
        <w:tc>
          <w:tcPr>
            <w:tcW w:w="4262" w:type="dxa"/>
          </w:tcPr>
          <w:p w14:paraId="42CB112F">
            <w:pPr>
              <w:snapToGrid w:val="0"/>
              <w:spacing w:line="360" w:lineRule="exact"/>
              <w:rPr>
                <w:rFonts w:ascii="宋体" w:hAnsi="宋体" w:cs="宋体"/>
                <w:szCs w:val="21"/>
              </w:rPr>
            </w:pPr>
          </w:p>
        </w:tc>
      </w:tr>
    </w:tbl>
    <w:p w14:paraId="01027DD3">
      <w:pPr>
        <w:spacing w:line="400" w:lineRule="exact"/>
        <w:rPr>
          <w:rFonts w:ascii="宋体" w:hAnsi="宋体" w:cs="宋体"/>
          <w:b/>
          <w:bCs/>
          <w:color w:val="000000"/>
          <w:szCs w:val="21"/>
        </w:rPr>
      </w:pPr>
    </w:p>
    <w:p w14:paraId="77983BAF">
      <w:pPr>
        <w:spacing w:line="400" w:lineRule="exact"/>
        <w:rPr>
          <w:rFonts w:ascii="宋体" w:hAnsi="宋体" w:cs="宋体"/>
          <w:color w:val="000000"/>
          <w:szCs w:val="21"/>
        </w:rPr>
      </w:pPr>
      <w:r>
        <w:rPr>
          <w:rFonts w:hint="eastAsia" w:ascii="宋体" w:hAnsi="宋体" w:cs="宋体"/>
          <w:b/>
          <w:bCs/>
          <w:color w:val="000000"/>
          <w:szCs w:val="21"/>
        </w:rPr>
        <w:t>见证方</w:t>
      </w:r>
      <w:r>
        <w:rPr>
          <w:rFonts w:hint="eastAsia" w:ascii="宋体" w:hAnsi="宋体" w:cs="宋体"/>
          <w:color w:val="000000"/>
          <w:szCs w:val="21"/>
        </w:rPr>
        <w:t>：</w:t>
      </w:r>
    </w:p>
    <w:p w14:paraId="634FD021">
      <w:pPr>
        <w:tabs>
          <w:tab w:val="left" w:pos="3780"/>
        </w:tabs>
        <w:spacing w:line="400" w:lineRule="exact"/>
        <w:rPr>
          <w:rFonts w:ascii="宋体" w:hAnsi="宋体" w:cs="宋体"/>
          <w:color w:val="000000"/>
          <w:szCs w:val="21"/>
        </w:rPr>
      </w:pPr>
      <w:r>
        <w:rPr>
          <w:rFonts w:hint="eastAsia" w:ascii="宋体" w:hAnsi="宋体" w:cs="宋体"/>
          <w:color w:val="000000"/>
          <w:szCs w:val="21"/>
        </w:rPr>
        <w:t>代理机构（章）：</w:t>
      </w:r>
      <w:r>
        <w:rPr>
          <w:rFonts w:hint="eastAsia" w:ascii="宋体" w:hAnsi="宋体" w:cs="宋体"/>
          <w:b/>
          <w:bCs/>
          <w:color w:val="000000"/>
          <w:szCs w:val="21"/>
          <w:u w:val="single"/>
        </w:rPr>
        <w:t>常州市城投建设工程招标有限公司</w:t>
      </w:r>
    </w:p>
    <w:p w14:paraId="72E2E041">
      <w:pPr>
        <w:spacing w:line="400" w:lineRule="exact"/>
        <w:rPr>
          <w:rFonts w:ascii="宋体" w:hAnsi="宋体" w:cs="宋体"/>
          <w:color w:val="000000"/>
          <w:szCs w:val="21"/>
        </w:rPr>
      </w:pPr>
      <w:r>
        <w:rPr>
          <w:rFonts w:hint="eastAsia" w:ascii="宋体" w:hAnsi="宋体" w:cs="宋体"/>
          <w:color w:val="000000"/>
          <w:szCs w:val="21"/>
        </w:rPr>
        <w:t xml:space="preserve">                 </w:t>
      </w:r>
    </w:p>
    <w:p w14:paraId="4756B547">
      <w:pPr>
        <w:spacing w:line="400" w:lineRule="exact"/>
        <w:rPr>
          <w:rFonts w:asciiTheme="minorEastAsia" w:hAnsiTheme="minorEastAsia" w:eastAsiaTheme="minorEastAsia" w:cstheme="minorEastAsia"/>
          <w:szCs w:val="21"/>
        </w:rPr>
      </w:pPr>
      <w:r>
        <w:rPr>
          <w:rFonts w:hint="eastAsia" w:ascii="宋体" w:hAnsi="宋体" w:cs="宋体"/>
          <w:color w:val="000000"/>
          <w:szCs w:val="21"/>
        </w:rPr>
        <w:t>经办人：                               电  话：</w:t>
      </w:r>
    </w:p>
    <w:p w14:paraId="7A656FE2">
      <w:pPr>
        <w:jc w:val="center"/>
        <w:rPr>
          <w:rFonts w:ascii="宋体" w:hAnsi="宋体" w:cs="宋体"/>
          <w:b/>
          <w:sz w:val="30"/>
          <w:szCs w:val="30"/>
        </w:rPr>
      </w:pPr>
    </w:p>
    <w:p w14:paraId="6A7F9FCC">
      <w:pPr>
        <w:jc w:val="center"/>
        <w:rPr>
          <w:rFonts w:ascii="宋体" w:hAnsi="宋体" w:cs="宋体"/>
          <w:b/>
          <w:sz w:val="30"/>
          <w:szCs w:val="30"/>
        </w:rPr>
      </w:pPr>
    </w:p>
    <w:p w14:paraId="1ED685DE">
      <w:pPr>
        <w:jc w:val="center"/>
        <w:rPr>
          <w:rFonts w:ascii="宋体" w:hAnsi="宋体" w:cs="宋体"/>
          <w:b/>
          <w:sz w:val="30"/>
          <w:szCs w:val="30"/>
        </w:rPr>
      </w:pPr>
    </w:p>
    <w:p w14:paraId="6C62D842">
      <w:pPr>
        <w:jc w:val="center"/>
        <w:rPr>
          <w:rFonts w:ascii="宋体" w:hAnsi="宋体" w:cs="宋体"/>
          <w:b/>
          <w:sz w:val="30"/>
          <w:szCs w:val="30"/>
        </w:rPr>
      </w:pPr>
    </w:p>
    <w:p w14:paraId="2BBDE6EF">
      <w:pPr>
        <w:jc w:val="center"/>
        <w:rPr>
          <w:rFonts w:ascii="宋体" w:hAnsi="宋体" w:cs="宋体"/>
          <w:b/>
          <w:sz w:val="30"/>
          <w:szCs w:val="30"/>
        </w:rPr>
      </w:pPr>
    </w:p>
    <w:p w14:paraId="5153E3A7">
      <w:pPr>
        <w:jc w:val="center"/>
        <w:rPr>
          <w:rFonts w:ascii="宋体" w:hAnsi="宋体" w:cs="宋体"/>
          <w:b/>
          <w:sz w:val="30"/>
          <w:szCs w:val="30"/>
        </w:rPr>
      </w:pPr>
    </w:p>
    <w:p w14:paraId="7778942D">
      <w:pPr>
        <w:jc w:val="center"/>
        <w:rPr>
          <w:rFonts w:ascii="宋体" w:hAnsi="宋体" w:cs="宋体"/>
          <w:b/>
          <w:sz w:val="30"/>
          <w:szCs w:val="30"/>
        </w:rPr>
      </w:pPr>
    </w:p>
    <w:p w14:paraId="79F38011">
      <w:pPr>
        <w:widowControl/>
        <w:jc w:val="left"/>
        <w:rPr>
          <w:rFonts w:ascii="宋体" w:hAnsi="宋体" w:cs="宋体"/>
          <w:b/>
          <w:sz w:val="30"/>
          <w:szCs w:val="30"/>
        </w:rPr>
      </w:pPr>
      <w:r>
        <w:rPr>
          <w:rFonts w:hint="eastAsia" w:ascii="宋体" w:hAnsi="宋体" w:cs="宋体"/>
          <w:b/>
          <w:sz w:val="30"/>
          <w:szCs w:val="30"/>
        </w:rPr>
        <w:br w:type="page"/>
      </w:r>
    </w:p>
    <w:p w14:paraId="0F44B6B6">
      <w:pPr>
        <w:pStyle w:val="2"/>
        <w:rPr>
          <w:rFonts w:ascii="宋体" w:hAnsi="宋体" w:cs="宋体"/>
        </w:rPr>
      </w:pPr>
      <w:bookmarkStart w:id="5" w:name="_Toc17537930"/>
      <w:r>
        <w:rPr>
          <w:rFonts w:hint="eastAsia" w:ascii="宋体" w:hAnsi="宋体" w:cs="宋体"/>
        </w:rPr>
        <w:t>第四章  评审细则</w:t>
      </w:r>
      <w:bookmarkEnd w:id="5"/>
    </w:p>
    <w:p w14:paraId="7FCC35E5">
      <w:pPr>
        <w:snapToGrid w:val="0"/>
        <w:spacing w:line="360" w:lineRule="exact"/>
        <w:ind w:firstLine="422" w:firstLineChars="200"/>
        <w:rPr>
          <w:rFonts w:ascii="宋体" w:hAnsi="宋体" w:cs="宋体"/>
          <w:szCs w:val="21"/>
        </w:rPr>
      </w:pPr>
      <w:bookmarkStart w:id="6" w:name="_Toc17537931"/>
      <w:r>
        <w:rPr>
          <w:rFonts w:hint="eastAsia" w:cs="宋体" w:asciiTheme="minorEastAsia" w:hAnsiTheme="minorEastAsia" w:eastAsiaTheme="minorEastAsia"/>
          <w:b/>
          <w:szCs w:val="21"/>
        </w:rPr>
        <w:t>一、本项目采用综合评分法</w:t>
      </w:r>
      <w:r>
        <w:rPr>
          <w:rFonts w:hint="eastAsia" w:ascii="宋体" w:hAnsi="宋体" w:cs="宋体"/>
          <w:szCs w:val="21"/>
        </w:rPr>
        <w:t>，由磋商小组对所有有效投标进行详细的评分，采用百分制计分方法。评审时，磋商小组各成员遵循公平、公正、择优原则，独立对每个有效供应商的标书进行评价、打分，各个供应商的评审后最终得分为汇总计算所有评委所评定分值的平均值（保留2位小数）。</w:t>
      </w:r>
    </w:p>
    <w:p w14:paraId="5001836B">
      <w:pPr>
        <w:snapToGrid w:val="0"/>
        <w:spacing w:line="360" w:lineRule="exact"/>
        <w:ind w:firstLine="420" w:firstLineChars="200"/>
        <w:rPr>
          <w:rFonts w:ascii="宋体" w:hAnsi="宋体" w:cs="宋体"/>
          <w:color w:val="FF0000"/>
          <w:szCs w:val="21"/>
        </w:rPr>
      </w:pPr>
      <w:r>
        <w:rPr>
          <w:rFonts w:hint="eastAsia" w:ascii="宋体" w:hAnsi="宋体" w:cs="宋体"/>
          <w:szCs w:val="21"/>
        </w:rPr>
        <w:t>评审结果按评审后得分由高到低顺序排列。得分相同的，按磋商报价由低到高顺序排列。得分且磋商报价相同的并列。磋商响应文件满足磋商文件全部实质性要求，且按照评审因素的量化指标评审得分最高的供应商为排名第一的成交候选人。</w:t>
      </w:r>
    </w:p>
    <w:p w14:paraId="3B17B757">
      <w:pPr>
        <w:spacing w:line="360" w:lineRule="exact"/>
        <w:ind w:firstLine="422" w:firstLineChars="200"/>
        <w:rPr>
          <w:rFonts w:ascii="宋体" w:hAnsi="宋体" w:cs="宋体"/>
          <w:b/>
          <w:szCs w:val="21"/>
        </w:rPr>
      </w:pPr>
      <w:r>
        <w:rPr>
          <w:rFonts w:hint="eastAsia" w:cs="宋体" w:asciiTheme="minorEastAsia" w:hAnsiTheme="minorEastAsia" w:eastAsiaTheme="minorEastAsia"/>
          <w:b/>
          <w:szCs w:val="21"/>
        </w:rPr>
        <w:t>二、评分细则：</w:t>
      </w:r>
    </w:p>
    <w:tbl>
      <w:tblPr>
        <w:tblStyle w:val="21"/>
        <w:tblW w:w="51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42"/>
        <w:gridCol w:w="1443"/>
        <w:gridCol w:w="625"/>
        <w:gridCol w:w="6128"/>
      </w:tblGrid>
      <w:tr w14:paraId="6F5D4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Align w:val="center"/>
          </w:tcPr>
          <w:p w14:paraId="0E8972AA">
            <w:pPr>
              <w:spacing w:line="360" w:lineRule="exact"/>
              <w:jc w:val="center"/>
              <w:rPr>
                <w:rFonts w:hint="eastAsia" w:ascii="宋体" w:hAnsi="宋体" w:cs="宋体"/>
                <w:b/>
                <w:szCs w:val="21"/>
              </w:rPr>
            </w:pPr>
            <w:r>
              <w:rPr>
                <w:rFonts w:hint="eastAsia" w:ascii="宋体" w:hAnsi="宋体" w:cs="宋体"/>
                <w:b/>
                <w:szCs w:val="21"/>
              </w:rPr>
              <w:t>序号</w:t>
            </w:r>
          </w:p>
        </w:tc>
        <w:tc>
          <w:tcPr>
            <w:tcW w:w="835" w:type="pct"/>
            <w:vAlign w:val="center"/>
          </w:tcPr>
          <w:p w14:paraId="4A00A432">
            <w:pPr>
              <w:spacing w:line="360" w:lineRule="exact"/>
              <w:jc w:val="center"/>
              <w:rPr>
                <w:rFonts w:hint="eastAsia" w:ascii="宋体" w:hAnsi="宋体" w:cs="宋体"/>
                <w:b/>
                <w:szCs w:val="21"/>
              </w:rPr>
            </w:pPr>
            <w:r>
              <w:rPr>
                <w:rFonts w:hint="eastAsia" w:ascii="宋体" w:hAnsi="宋体" w:cs="宋体"/>
                <w:b/>
                <w:szCs w:val="21"/>
              </w:rPr>
              <w:t>评分项目</w:t>
            </w:r>
          </w:p>
        </w:tc>
        <w:tc>
          <w:tcPr>
            <w:tcW w:w="362" w:type="pct"/>
            <w:vAlign w:val="center"/>
          </w:tcPr>
          <w:p w14:paraId="15A7F419">
            <w:pPr>
              <w:spacing w:line="360" w:lineRule="exact"/>
              <w:jc w:val="center"/>
              <w:rPr>
                <w:rFonts w:hint="eastAsia" w:ascii="宋体" w:hAnsi="宋体" w:cs="宋体"/>
                <w:b/>
                <w:szCs w:val="21"/>
              </w:rPr>
            </w:pPr>
            <w:r>
              <w:rPr>
                <w:rFonts w:hint="eastAsia" w:ascii="宋体" w:hAnsi="宋体" w:cs="宋体"/>
                <w:b/>
                <w:szCs w:val="21"/>
              </w:rPr>
              <w:t>分值</w:t>
            </w:r>
          </w:p>
        </w:tc>
        <w:tc>
          <w:tcPr>
            <w:tcW w:w="3547" w:type="pct"/>
            <w:vAlign w:val="center"/>
          </w:tcPr>
          <w:p w14:paraId="674C2611">
            <w:pPr>
              <w:spacing w:line="360" w:lineRule="exact"/>
              <w:jc w:val="center"/>
              <w:rPr>
                <w:rFonts w:hint="eastAsia" w:ascii="宋体" w:hAnsi="宋体" w:cs="宋体"/>
                <w:b/>
                <w:szCs w:val="21"/>
              </w:rPr>
            </w:pPr>
            <w:r>
              <w:rPr>
                <w:rFonts w:hint="eastAsia" w:ascii="宋体" w:hAnsi="宋体" w:cs="宋体"/>
                <w:b/>
                <w:szCs w:val="21"/>
              </w:rPr>
              <w:t>评分标准</w:t>
            </w:r>
          </w:p>
        </w:tc>
      </w:tr>
      <w:tr w14:paraId="42DB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5000" w:type="pct"/>
            <w:gridSpan w:val="4"/>
            <w:vAlign w:val="center"/>
          </w:tcPr>
          <w:p w14:paraId="67DA7584">
            <w:pPr>
              <w:spacing w:line="360" w:lineRule="exact"/>
              <w:jc w:val="left"/>
              <w:rPr>
                <w:rFonts w:hint="eastAsia" w:ascii="宋体" w:hAnsi="宋体" w:cs="宋体"/>
                <w:b/>
                <w:szCs w:val="21"/>
              </w:rPr>
            </w:pPr>
            <w:r>
              <w:rPr>
                <w:rFonts w:hint="eastAsia" w:ascii="宋体" w:hAnsi="宋体" w:cs="宋体"/>
                <w:b/>
                <w:szCs w:val="21"/>
              </w:rPr>
              <w:t>一</w:t>
            </w:r>
            <w:r>
              <w:rPr>
                <w:rFonts w:ascii="宋体" w:hAnsi="宋体" w:cs="宋体"/>
                <w:b/>
                <w:szCs w:val="21"/>
              </w:rPr>
              <w:t>、价格部分</w:t>
            </w:r>
            <w:r>
              <w:rPr>
                <w:rFonts w:hint="eastAsia" w:ascii="宋体" w:hAnsi="宋体" w:cs="宋体"/>
                <w:b/>
                <w:szCs w:val="21"/>
              </w:rPr>
              <w:t>：1</w:t>
            </w:r>
            <w:r>
              <w:rPr>
                <w:rFonts w:ascii="宋体" w:hAnsi="宋体" w:cs="宋体"/>
                <w:b/>
                <w:szCs w:val="21"/>
              </w:rPr>
              <w:t>0</w:t>
            </w:r>
            <w:r>
              <w:rPr>
                <w:rFonts w:hint="eastAsia" w:ascii="宋体" w:hAnsi="宋体" w:cs="宋体"/>
                <w:b/>
                <w:szCs w:val="21"/>
              </w:rPr>
              <w:t>分</w:t>
            </w:r>
          </w:p>
        </w:tc>
      </w:tr>
      <w:tr w14:paraId="6208D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Align w:val="center"/>
          </w:tcPr>
          <w:p w14:paraId="6FF467D3">
            <w:pPr>
              <w:spacing w:line="360" w:lineRule="exact"/>
              <w:jc w:val="center"/>
              <w:rPr>
                <w:rFonts w:hint="eastAsia" w:ascii="宋体" w:hAnsi="宋体" w:cs="宋体"/>
                <w:szCs w:val="21"/>
              </w:rPr>
            </w:pPr>
            <w:r>
              <w:rPr>
                <w:rFonts w:hint="eastAsia" w:ascii="宋体" w:hAnsi="宋体" w:cs="宋体"/>
                <w:szCs w:val="21"/>
              </w:rPr>
              <w:t>l</w:t>
            </w:r>
          </w:p>
        </w:tc>
        <w:tc>
          <w:tcPr>
            <w:tcW w:w="835" w:type="pct"/>
            <w:vAlign w:val="center"/>
          </w:tcPr>
          <w:p w14:paraId="0E3FF507">
            <w:pPr>
              <w:spacing w:line="360" w:lineRule="exact"/>
              <w:jc w:val="center"/>
              <w:rPr>
                <w:rFonts w:hint="eastAsia" w:ascii="宋体" w:hAnsi="宋体" w:cs="宋体"/>
                <w:szCs w:val="21"/>
              </w:rPr>
            </w:pPr>
            <w:r>
              <w:rPr>
                <w:rFonts w:hint="eastAsia" w:ascii="宋体" w:hAnsi="宋体" w:cs="宋体"/>
                <w:szCs w:val="21"/>
              </w:rPr>
              <w:t>价格得分</w:t>
            </w:r>
          </w:p>
        </w:tc>
        <w:tc>
          <w:tcPr>
            <w:tcW w:w="362" w:type="pct"/>
            <w:vAlign w:val="center"/>
          </w:tcPr>
          <w:p w14:paraId="46A7CC42">
            <w:pPr>
              <w:spacing w:line="360" w:lineRule="exact"/>
              <w:jc w:val="center"/>
              <w:rPr>
                <w:rFonts w:hint="eastAsia" w:ascii="宋体" w:hAnsi="宋体" w:cs="宋体"/>
                <w:szCs w:val="21"/>
              </w:rPr>
            </w:pPr>
            <w:r>
              <w:rPr>
                <w:rFonts w:hint="eastAsia" w:ascii="宋体" w:hAnsi="宋体" w:cs="宋体"/>
                <w:szCs w:val="21"/>
              </w:rPr>
              <w:t>1</w:t>
            </w:r>
            <w:r>
              <w:rPr>
                <w:rFonts w:ascii="宋体" w:hAnsi="宋体" w:cs="宋体"/>
                <w:szCs w:val="21"/>
              </w:rPr>
              <w:t>0</w:t>
            </w:r>
          </w:p>
        </w:tc>
        <w:tc>
          <w:tcPr>
            <w:tcW w:w="3547" w:type="pct"/>
            <w:vAlign w:val="center"/>
          </w:tcPr>
          <w:p w14:paraId="2E53DB17">
            <w:pPr>
              <w:spacing w:line="360" w:lineRule="exact"/>
              <w:ind w:firstLine="420" w:firstLineChars="200"/>
              <w:jc w:val="left"/>
              <w:rPr>
                <w:rFonts w:hint="eastAsia" w:ascii="宋体" w:hAnsi="宋体" w:cs="宋体"/>
                <w:szCs w:val="21"/>
              </w:rPr>
            </w:pPr>
            <w:r>
              <w:rPr>
                <w:rFonts w:hint="eastAsia" w:ascii="宋体" w:hAnsi="宋体" w:cs="宋体"/>
                <w:szCs w:val="21"/>
              </w:rPr>
              <w:t>满足</w:t>
            </w:r>
            <w:r>
              <w:rPr>
                <w:rFonts w:hint="eastAsia" w:ascii="宋体" w:hAnsi="宋体" w:cs="宋体"/>
                <w:szCs w:val="21"/>
                <w:lang w:eastAsia="zh-CN"/>
              </w:rPr>
              <w:t>竞争性磋商文件</w:t>
            </w:r>
            <w:r>
              <w:rPr>
                <w:rFonts w:hint="eastAsia" w:ascii="宋体" w:hAnsi="宋体" w:cs="宋体"/>
                <w:szCs w:val="21"/>
              </w:rPr>
              <w:t>要求且最终报价最低的报价为评标基准价，其价格分为满分。其他供应商的价格分统一按照下列公式计算：价格分得分＝（评标基准价/最终报价）×分值。</w:t>
            </w:r>
          </w:p>
        </w:tc>
      </w:tr>
      <w:tr w14:paraId="4B50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5000" w:type="pct"/>
            <w:gridSpan w:val="4"/>
            <w:vAlign w:val="center"/>
          </w:tcPr>
          <w:p w14:paraId="0815E71E">
            <w:pPr>
              <w:spacing w:line="360" w:lineRule="exact"/>
              <w:jc w:val="left"/>
              <w:rPr>
                <w:rFonts w:hint="eastAsia" w:ascii="宋体" w:hAnsi="宋体" w:cs="宋体"/>
                <w:szCs w:val="21"/>
              </w:rPr>
            </w:pPr>
            <w:r>
              <w:rPr>
                <w:rFonts w:asciiTheme="minorEastAsia" w:hAnsiTheme="minorEastAsia" w:eastAsiaTheme="minorEastAsia" w:cstheme="minorEastAsia"/>
                <w:b/>
                <w:szCs w:val="21"/>
              </w:rPr>
              <w:t>二、客观分（</w:t>
            </w:r>
            <w:r>
              <w:rPr>
                <w:rFonts w:hint="eastAsia" w:asciiTheme="minorEastAsia" w:hAnsiTheme="minorEastAsia" w:eastAsiaTheme="minorEastAsia" w:cstheme="minorEastAsia"/>
                <w:b/>
                <w:szCs w:val="21"/>
              </w:rPr>
              <w:t>40</w:t>
            </w:r>
            <w:r>
              <w:rPr>
                <w:rFonts w:asciiTheme="minorEastAsia" w:hAnsiTheme="minorEastAsia" w:eastAsiaTheme="minorEastAsia" w:cstheme="minorEastAsia"/>
                <w:b/>
                <w:szCs w:val="21"/>
              </w:rPr>
              <w:t>分）</w:t>
            </w:r>
          </w:p>
        </w:tc>
      </w:tr>
      <w:tr w14:paraId="77635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Align w:val="center"/>
          </w:tcPr>
          <w:p w14:paraId="5ABA8699">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835" w:type="pct"/>
            <w:vAlign w:val="center"/>
          </w:tcPr>
          <w:p w14:paraId="40CA88E7">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业绩</w:t>
            </w:r>
          </w:p>
        </w:tc>
        <w:tc>
          <w:tcPr>
            <w:tcW w:w="362" w:type="pct"/>
            <w:vAlign w:val="center"/>
          </w:tcPr>
          <w:p w14:paraId="34F2E048">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12分</w:t>
            </w:r>
          </w:p>
        </w:tc>
        <w:tc>
          <w:tcPr>
            <w:tcW w:w="3547" w:type="pct"/>
          </w:tcPr>
          <w:p w14:paraId="6493063E">
            <w:pPr>
              <w:spacing w:line="360" w:lineRule="exact"/>
              <w:ind w:firstLine="420" w:firstLineChars="200"/>
              <w:jc w:val="left"/>
              <w:rPr>
                <w:rFonts w:hint="eastAsia" w:asciiTheme="minorEastAsia" w:hAnsiTheme="minorEastAsia" w:eastAsiaTheme="minorEastAsia" w:cstheme="minorEastAsia"/>
                <w:szCs w:val="21"/>
              </w:rPr>
            </w:pPr>
            <w:r>
              <w:rPr>
                <w:rFonts w:asciiTheme="minorEastAsia" w:hAnsiTheme="minorEastAsia" w:eastAsiaTheme="minorEastAsia" w:cstheme="minorEastAsia"/>
                <w:szCs w:val="21"/>
                <w:highlight w:val="none"/>
              </w:rPr>
              <w:t>投标人自2022年1月1日以来（以合同签订日期为准）具有</w:t>
            </w:r>
            <w:r>
              <w:rPr>
                <w:rFonts w:hint="eastAsia" w:asciiTheme="minorEastAsia" w:hAnsiTheme="minorEastAsia" w:eastAsiaTheme="minorEastAsia" w:cstheme="minorEastAsia"/>
                <w:szCs w:val="21"/>
                <w:highlight w:val="none"/>
                <w:lang w:val="en-US" w:eastAsia="zh-CN"/>
              </w:rPr>
              <w:t>类似业绩</w:t>
            </w:r>
            <w:r>
              <w:rPr>
                <w:rFonts w:asciiTheme="minorEastAsia" w:hAnsiTheme="minorEastAsia" w:eastAsiaTheme="minorEastAsia" w:cstheme="minorEastAsia"/>
                <w:szCs w:val="21"/>
                <w:highlight w:val="none"/>
              </w:rPr>
              <w:t>的，每有一个得4分，最高12分。合同服务内容需</w:t>
            </w:r>
            <w:r>
              <w:rPr>
                <w:rFonts w:ascii="宋体" w:hAnsi="宋体" w:cs="宋体"/>
                <w:szCs w:val="21"/>
                <w:highlight w:val="none"/>
              </w:rPr>
              <w:t>包含</w:t>
            </w:r>
            <w:r>
              <w:rPr>
                <w:rFonts w:asciiTheme="minorEastAsia" w:hAnsiTheme="minorEastAsia" w:eastAsiaTheme="minorEastAsia" w:cstheme="minorEastAsia"/>
                <w:szCs w:val="21"/>
                <w:highlight w:val="none"/>
              </w:rPr>
              <w:t>检测鉴定。</w:t>
            </w:r>
            <w:r>
              <w:rPr>
                <w:rFonts w:asciiTheme="minorEastAsia" w:hAnsiTheme="minorEastAsia" w:eastAsiaTheme="minorEastAsia" w:cstheme="minorEastAsia"/>
                <w:b/>
                <w:szCs w:val="21"/>
                <w:highlight w:val="none"/>
              </w:rPr>
              <w:t>投标文件提供合同复印件加盖投标单位公章，原件或公证件核查，否则不得分</w:t>
            </w:r>
            <w:r>
              <w:rPr>
                <w:rFonts w:asciiTheme="minorEastAsia" w:hAnsiTheme="minorEastAsia" w:eastAsiaTheme="minorEastAsia" w:cstheme="minorEastAsia"/>
                <w:b/>
                <w:szCs w:val="21"/>
              </w:rPr>
              <w:t>。</w:t>
            </w:r>
          </w:p>
        </w:tc>
      </w:tr>
      <w:tr w14:paraId="1D68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Align w:val="center"/>
          </w:tcPr>
          <w:p w14:paraId="39B75BCF">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835" w:type="pct"/>
            <w:vAlign w:val="center"/>
          </w:tcPr>
          <w:p w14:paraId="4A49EDBD">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综合实力</w:t>
            </w:r>
          </w:p>
        </w:tc>
        <w:tc>
          <w:tcPr>
            <w:tcW w:w="362" w:type="pct"/>
            <w:vAlign w:val="center"/>
          </w:tcPr>
          <w:p w14:paraId="113247D3">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14分</w:t>
            </w:r>
          </w:p>
        </w:tc>
        <w:tc>
          <w:tcPr>
            <w:tcW w:w="3547" w:type="pct"/>
          </w:tcPr>
          <w:p w14:paraId="28A370FC">
            <w:pPr>
              <w:spacing w:line="360" w:lineRule="exact"/>
              <w:ind w:firstLine="420" w:firstLineChars="200"/>
              <w:jc w:val="left"/>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szCs w:val="21"/>
              </w:rPr>
              <w:t>1.</w:t>
            </w:r>
            <w:r>
              <w:rPr>
                <w:rFonts w:asciiTheme="minorEastAsia" w:hAnsiTheme="minorEastAsia" w:eastAsiaTheme="minorEastAsia" w:cstheme="minorEastAsia"/>
                <w:sz w:val="21"/>
                <w:szCs w:val="21"/>
              </w:rPr>
              <w:t>投标人具有有效的质量管理体系认证、环境管理体系认证、职业健康安全管理体系认证证书的，</w:t>
            </w:r>
            <w:r>
              <w:rPr>
                <w:rFonts w:asciiTheme="minorEastAsia" w:hAnsiTheme="minorEastAsia" w:eastAsiaTheme="minorEastAsia" w:cstheme="minorEastAsia"/>
                <w:b/>
                <w:bCs/>
                <w:sz w:val="21"/>
                <w:szCs w:val="21"/>
              </w:rPr>
              <w:t>每有一个得</w:t>
            </w:r>
            <w:r>
              <w:rPr>
                <w:rFonts w:hint="eastAsia" w:asciiTheme="minorEastAsia" w:hAnsiTheme="minorEastAsia" w:eastAsiaTheme="minorEastAsia" w:cstheme="minorEastAsia"/>
                <w:b/>
                <w:bCs/>
                <w:sz w:val="21"/>
                <w:szCs w:val="21"/>
                <w:lang w:val="en-US" w:eastAsia="zh-CN"/>
              </w:rPr>
              <w:t>2</w:t>
            </w:r>
            <w:r>
              <w:rPr>
                <w:rFonts w:asciiTheme="minorEastAsia" w:hAnsiTheme="minorEastAsia" w:eastAsiaTheme="minorEastAsia" w:cstheme="minorEastAsia"/>
                <w:b/>
                <w:bCs/>
                <w:sz w:val="21"/>
                <w:szCs w:val="21"/>
              </w:rPr>
              <w:t>分，本项最高得</w:t>
            </w:r>
            <w:r>
              <w:rPr>
                <w:rFonts w:hint="eastAsia" w:asciiTheme="minorEastAsia" w:hAnsiTheme="minorEastAsia" w:eastAsiaTheme="minorEastAsia" w:cstheme="minorEastAsia"/>
                <w:b/>
                <w:bCs/>
                <w:sz w:val="21"/>
                <w:szCs w:val="21"/>
                <w:lang w:val="en-US" w:eastAsia="zh-CN"/>
              </w:rPr>
              <w:t>6</w:t>
            </w:r>
            <w:r>
              <w:rPr>
                <w:rFonts w:asciiTheme="minorEastAsia" w:hAnsiTheme="minorEastAsia" w:eastAsiaTheme="minorEastAsia" w:cstheme="minorEastAsia"/>
                <w:b/>
                <w:bCs/>
                <w:sz w:val="21"/>
                <w:szCs w:val="21"/>
              </w:rPr>
              <w:t>分。</w:t>
            </w:r>
          </w:p>
          <w:p w14:paraId="28F9891D">
            <w:pPr>
              <w:spacing w:line="360" w:lineRule="exact"/>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w:t>
            </w:r>
            <w:r>
              <w:rPr>
                <w:rFonts w:asciiTheme="minorEastAsia" w:hAnsiTheme="minorEastAsia" w:eastAsiaTheme="minorEastAsia" w:cstheme="minorEastAsia"/>
                <w:szCs w:val="21"/>
              </w:rPr>
              <w:t>.投标人具有省级信誉咨询企业证书AAA级</w:t>
            </w:r>
            <w:r>
              <w:rPr>
                <w:rFonts w:asciiTheme="minorEastAsia" w:hAnsiTheme="minorEastAsia" w:eastAsiaTheme="minorEastAsia" w:cstheme="minorEastAsia"/>
                <w:b/>
                <w:bCs/>
                <w:szCs w:val="21"/>
              </w:rPr>
              <w:t>得3分</w:t>
            </w:r>
            <w:r>
              <w:rPr>
                <w:rFonts w:asciiTheme="minorEastAsia" w:hAnsiTheme="minorEastAsia" w:eastAsiaTheme="minorEastAsia" w:cstheme="minorEastAsia"/>
                <w:szCs w:val="21"/>
              </w:rPr>
              <w:t>、AA级得2分、A级得1分。</w:t>
            </w:r>
          </w:p>
          <w:p w14:paraId="21CFA0A4">
            <w:pPr>
              <w:spacing w:line="360" w:lineRule="exact"/>
              <w:ind w:firstLine="420" w:firstLineChars="20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asciiTheme="minorEastAsia" w:hAnsiTheme="minorEastAsia" w:eastAsiaTheme="minorEastAsia" w:cstheme="minorEastAsia"/>
                <w:sz w:val="21"/>
                <w:szCs w:val="21"/>
              </w:rPr>
              <w:t>.投标人具有省级建设工程质量检测行业先进单位证书的得2分，具有国家级建设工程质量检测行业先进单位的得5分，</w:t>
            </w:r>
            <w:r>
              <w:rPr>
                <w:rFonts w:asciiTheme="minorEastAsia" w:hAnsiTheme="minorEastAsia" w:eastAsiaTheme="minorEastAsia" w:cstheme="minorEastAsia"/>
                <w:b/>
                <w:bCs/>
                <w:sz w:val="21"/>
                <w:szCs w:val="21"/>
              </w:rPr>
              <w:t>本项最高5分</w:t>
            </w:r>
            <w:r>
              <w:rPr>
                <w:rFonts w:asciiTheme="minorEastAsia" w:hAnsiTheme="minorEastAsia" w:eastAsiaTheme="minorEastAsia" w:cstheme="minorEastAsia"/>
                <w:sz w:val="21"/>
                <w:szCs w:val="21"/>
              </w:rPr>
              <w:t>。</w:t>
            </w:r>
          </w:p>
          <w:p w14:paraId="35371689">
            <w:pPr>
              <w:spacing w:line="360" w:lineRule="exact"/>
              <w:ind w:firstLine="422" w:firstLineChars="200"/>
              <w:jc w:val="left"/>
              <w:rPr>
                <w:rFonts w:hint="eastAsia" w:asciiTheme="minorEastAsia" w:hAnsiTheme="minorEastAsia" w:eastAsiaTheme="minorEastAsia" w:cstheme="minorEastAsia"/>
                <w:szCs w:val="21"/>
              </w:rPr>
            </w:pPr>
            <w:r>
              <w:rPr>
                <w:rFonts w:asciiTheme="minorEastAsia" w:hAnsiTheme="minorEastAsia" w:eastAsiaTheme="minorEastAsia" w:cstheme="minorEastAsia"/>
                <w:b/>
                <w:szCs w:val="21"/>
              </w:rPr>
              <w:t>注：投标文件中</w:t>
            </w:r>
            <w:r>
              <w:rPr>
                <w:rFonts w:ascii="宋体" w:hAnsi="宋体" w:cs="宋体"/>
                <w:szCs w:val="21"/>
              </w:rPr>
              <w:t>提供</w:t>
            </w:r>
            <w:r>
              <w:rPr>
                <w:rFonts w:asciiTheme="minorEastAsia" w:hAnsiTheme="minorEastAsia" w:eastAsiaTheme="minorEastAsia" w:cstheme="minorEastAsia"/>
                <w:b/>
                <w:szCs w:val="21"/>
              </w:rPr>
              <w:t>证书复印件并加盖投标单位公章，原件或公证件核查，否则不得分。</w:t>
            </w:r>
          </w:p>
        </w:tc>
      </w:tr>
      <w:tr w14:paraId="3A5DC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Align w:val="center"/>
          </w:tcPr>
          <w:p w14:paraId="460C4DA8">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835" w:type="pct"/>
            <w:vAlign w:val="center"/>
          </w:tcPr>
          <w:p w14:paraId="610C06E9">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人员配备</w:t>
            </w:r>
          </w:p>
        </w:tc>
        <w:tc>
          <w:tcPr>
            <w:tcW w:w="362" w:type="pct"/>
            <w:vAlign w:val="center"/>
          </w:tcPr>
          <w:p w14:paraId="25721387">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14分</w:t>
            </w:r>
          </w:p>
        </w:tc>
        <w:tc>
          <w:tcPr>
            <w:tcW w:w="3547" w:type="pct"/>
            <w:vAlign w:val="center"/>
          </w:tcPr>
          <w:p w14:paraId="2463F7B0">
            <w:pPr>
              <w:spacing w:line="3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1、项目组成员（除</w:t>
            </w:r>
            <w:r>
              <w:rPr>
                <w:rFonts w:hint="eastAsia" w:ascii="宋体" w:hAnsi="宋体" w:cs="宋体"/>
                <w:szCs w:val="21"/>
              </w:rPr>
              <w:t>项目</w:t>
            </w:r>
            <w:r>
              <w:rPr>
                <w:rFonts w:hint="eastAsia" w:asciiTheme="minorEastAsia" w:hAnsiTheme="minorEastAsia" w:eastAsiaTheme="minorEastAsia" w:cstheme="minorEastAsia"/>
                <w:szCs w:val="21"/>
              </w:rPr>
              <w:t>负责人外），具备工程师职称的人员每人得1分；具备高级及以上工程师职称的，每人得2分；</w:t>
            </w:r>
            <w:r>
              <w:rPr>
                <w:rFonts w:hint="eastAsia" w:asciiTheme="minorEastAsia" w:hAnsiTheme="minorEastAsia" w:eastAsiaTheme="minorEastAsia" w:cstheme="minorEastAsia"/>
                <w:b/>
                <w:bCs/>
                <w:szCs w:val="21"/>
              </w:rPr>
              <w:t>本项限评5人，最高得10分</w:t>
            </w:r>
            <w:r>
              <w:rPr>
                <w:rFonts w:hint="eastAsia" w:asciiTheme="minorEastAsia" w:hAnsiTheme="minorEastAsia" w:eastAsiaTheme="minorEastAsia" w:cstheme="minorEastAsia"/>
                <w:szCs w:val="21"/>
              </w:rPr>
              <w:t>。</w:t>
            </w:r>
          </w:p>
          <w:p w14:paraId="2A21E604">
            <w:pPr>
              <w:spacing w:line="3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2、项目组成员（除项目负责人外），具备二级注册结构工程师的人员每人得0.5分；具备一级注册结构工程师的，每人得1分；</w:t>
            </w:r>
            <w:r>
              <w:rPr>
                <w:rFonts w:hint="eastAsia" w:asciiTheme="minorEastAsia" w:hAnsiTheme="minorEastAsia" w:eastAsiaTheme="minorEastAsia" w:cstheme="minorEastAsia"/>
                <w:b/>
                <w:bCs/>
                <w:szCs w:val="21"/>
              </w:rPr>
              <w:t>本项限评4人，最高得4分</w:t>
            </w:r>
            <w:r>
              <w:rPr>
                <w:rFonts w:hint="eastAsia" w:asciiTheme="minorEastAsia" w:hAnsiTheme="minorEastAsia" w:eastAsiaTheme="minorEastAsia" w:cstheme="minorEastAsia"/>
                <w:szCs w:val="21"/>
              </w:rPr>
              <w:t>。</w:t>
            </w:r>
          </w:p>
          <w:p w14:paraId="237E2BA9">
            <w:pPr>
              <w:spacing w:line="360" w:lineRule="exact"/>
              <w:ind w:firstLine="422"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注：同一人员以最高职称计分。</w:t>
            </w:r>
            <w:r>
              <w:rPr>
                <w:rFonts w:hint="eastAsia" w:asciiTheme="minorEastAsia" w:hAnsiTheme="minorEastAsia" w:eastAsiaTheme="minorEastAsia" w:cstheme="minorEastAsia"/>
                <w:b/>
                <w:szCs w:val="21"/>
              </w:rPr>
              <w:t>投标文件中提供人员证书复印件加盖投标单位公章（</w:t>
            </w:r>
            <w:r>
              <w:rPr>
                <w:rFonts w:asciiTheme="minorEastAsia" w:hAnsiTheme="minorEastAsia" w:eastAsiaTheme="minorEastAsia" w:cstheme="minorEastAsia"/>
                <w:b/>
                <w:szCs w:val="21"/>
              </w:rPr>
              <w:t>原件或公证件核查</w:t>
            </w:r>
            <w:r>
              <w:rPr>
                <w:rFonts w:hint="eastAsia" w:asciiTheme="minorEastAsia" w:hAnsiTheme="minorEastAsia" w:eastAsiaTheme="minorEastAsia" w:cstheme="minorEastAsia"/>
                <w:b/>
                <w:szCs w:val="21"/>
              </w:rPr>
              <w:t>，否则不得分），以及投标单位为以上人员缴纳的近半年（自开标之日起往前推算）任意连续的三个月社保证明，社保证明需携带可查询二维码。上述人员可重复得分。</w:t>
            </w:r>
          </w:p>
        </w:tc>
      </w:tr>
      <w:tr w14:paraId="7E1E3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5000" w:type="pct"/>
            <w:gridSpan w:val="4"/>
            <w:vAlign w:val="center"/>
          </w:tcPr>
          <w:p w14:paraId="3A237A79">
            <w:pPr>
              <w:spacing w:line="300" w:lineRule="exac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三、主观分（50分）</w:t>
            </w:r>
          </w:p>
        </w:tc>
      </w:tr>
      <w:tr w14:paraId="6F2A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Merge w:val="restart"/>
            <w:vAlign w:val="center"/>
          </w:tcPr>
          <w:p w14:paraId="6870C140">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50</w:t>
            </w:r>
          </w:p>
          <w:p w14:paraId="48B298E1">
            <w:pPr>
              <w:spacing w:line="300" w:lineRule="exact"/>
              <w:jc w:val="center"/>
              <w:rPr>
                <w:rFonts w:hint="eastAsia" w:asciiTheme="minorEastAsia" w:hAnsiTheme="minorEastAsia" w:eastAsiaTheme="minorEastAsia" w:cstheme="minorEastAsia"/>
                <w:szCs w:val="21"/>
              </w:rPr>
            </w:pPr>
          </w:p>
        </w:tc>
        <w:tc>
          <w:tcPr>
            <w:tcW w:w="835" w:type="pct"/>
            <w:vMerge w:val="restart"/>
            <w:vAlign w:val="center"/>
          </w:tcPr>
          <w:p w14:paraId="069FC769">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服务方案</w:t>
            </w:r>
          </w:p>
          <w:p w14:paraId="3AB1A830">
            <w:pPr>
              <w:spacing w:line="300" w:lineRule="exact"/>
              <w:jc w:val="center"/>
              <w:rPr>
                <w:rFonts w:hint="eastAsia" w:asciiTheme="minorEastAsia" w:hAnsiTheme="minorEastAsia" w:eastAsiaTheme="minorEastAsia" w:cstheme="minorEastAsia"/>
                <w:szCs w:val="21"/>
              </w:rPr>
            </w:pPr>
          </w:p>
        </w:tc>
        <w:tc>
          <w:tcPr>
            <w:tcW w:w="362" w:type="pct"/>
            <w:vAlign w:val="center"/>
          </w:tcPr>
          <w:p w14:paraId="4C8E173F">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8分</w:t>
            </w:r>
          </w:p>
        </w:tc>
        <w:tc>
          <w:tcPr>
            <w:tcW w:w="3547" w:type="pct"/>
            <w:vAlign w:val="center"/>
          </w:tcPr>
          <w:p w14:paraId="021EB59D">
            <w:pPr>
              <w:spacing w:line="360" w:lineRule="exact"/>
              <w:ind w:firstLine="422"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根据项目实施阶段制定与本项目所在区域匹配的整体实施方案，</w:t>
            </w:r>
            <w:r>
              <w:rPr>
                <w:rFonts w:hint="eastAsia" w:asciiTheme="minorEastAsia" w:hAnsiTheme="minorEastAsia" w:eastAsiaTheme="minorEastAsia" w:cstheme="minorEastAsia"/>
                <w:szCs w:val="21"/>
              </w:rPr>
              <w:t>对各阶段中所涉及各项工作制定的方案，方案科学合理，描述详细，清晰准确，理解分析充分合理的得8分；方案比较合理，描述完整，基本能满足项目实施需要的得5分；方案简单，描述不完整的得2分；未作说明不得分。</w:t>
            </w:r>
          </w:p>
        </w:tc>
      </w:tr>
      <w:tr w14:paraId="3E75A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Merge w:val="continue"/>
            <w:vAlign w:val="center"/>
          </w:tcPr>
          <w:p w14:paraId="3A54AEBD">
            <w:pPr>
              <w:spacing w:line="300" w:lineRule="exact"/>
              <w:jc w:val="center"/>
              <w:rPr>
                <w:rFonts w:hint="eastAsia" w:asciiTheme="minorEastAsia" w:hAnsiTheme="minorEastAsia" w:eastAsiaTheme="minorEastAsia" w:cstheme="minorEastAsia"/>
                <w:szCs w:val="21"/>
              </w:rPr>
            </w:pPr>
          </w:p>
        </w:tc>
        <w:tc>
          <w:tcPr>
            <w:tcW w:w="835" w:type="pct"/>
            <w:vMerge w:val="continue"/>
            <w:vAlign w:val="center"/>
          </w:tcPr>
          <w:p w14:paraId="5DC04A39">
            <w:pPr>
              <w:spacing w:line="300" w:lineRule="exact"/>
              <w:jc w:val="center"/>
              <w:rPr>
                <w:rFonts w:hint="eastAsia" w:asciiTheme="minorEastAsia" w:hAnsiTheme="minorEastAsia" w:eastAsiaTheme="minorEastAsia" w:cstheme="minorEastAsia"/>
                <w:szCs w:val="21"/>
              </w:rPr>
            </w:pPr>
          </w:p>
        </w:tc>
        <w:tc>
          <w:tcPr>
            <w:tcW w:w="362" w:type="pct"/>
            <w:vAlign w:val="center"/>
          </w:tcPr>
          <w:p w14:paraId="34EC4413">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7分</w:t>
            </w:r>
          </w:p>
        </w:tc>
        <w:tc>
          <w:tcPr>
            <w:tcW w:w="3547" w:type="pct"/>
            <w:vAlign w:val="center"/>
          </w:tcPr>
          <w:p w14:paraId="66FC5ECC">
            <w:pPr>
              <w:spacing w:line="360" w:lineRule="exact"/>
              <w:ind w:firstLine="422" w:firstLineChars="200"/>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对房屋检测鉴定工作的总体设想及组织机构框图，由评委进行综合评定：</w:t>
            </w:r>
          </w:p>
          <w:p w14:paraId="7ACDA667">
            <w:pPr>
              <w:spacing w:line="3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对项目的理解到位，总体设想符合采购需求，组织机构安排合理得7分；对项目理解基本到位，总体设想较符合采购需求，组织机构安排较合理得4分；对项目理解不够到位，总体设想部分满足项目需求，组织机构安排不够合理得2分。</w:t>
            </w:r>
          </w:p>
        </w:tc>
      </w:tr>
      <w:tr w14:paraId="1574C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Merge w:val="continue"/>
            <w:vAlign w:val="center"/>
          </w:tcPr>
          <w:p w14:paraId="426077E5">
            <w:pPr>
              <w:spacing w:line="300" w:lineRule="exact"/>
              <w:jc w:val="center"/>
              <w:rPr>
                <w:rFonts w:hint="eastAsia" w:asciiTheme="minorEastAsia" w:hAnsiTheme="minorEastAsia" w:eastAsiaTheme="minorEastAsia" w:cstheme="minorEastAsia"/>
                <w:szCs w:val="21"/>
              </w:rPr>
            </w:pPr>
          </w:p>
        </w:tc>
        <w:tc>
          <w:tcPr>
            <w:tcW w:w="835" w:type="pct"/>
            <w:vMerge w:val="continue"/>
            <w:vAlign w:val="center"/>
          </w:tcPr>
          <w:p w14:paraId="09E45493">
            <w:pPr>
              <w:spacing w:line="300" w:lineRule="exact"/>
              <w:jc w:val="center"/>
              <w:rPr>
                <w:rFonts w:hint="eastAsia" w:asciiTheme="minorEastAsia" w:hAnsiTheme="minorEastAsia" w:eastAsiaTheme="minorEastAsia" w:cstheme="minorEastAsia"/>
                <w:szCs w:val="21"/>
              </w:rPr>
            </w:pPr>
          </w:p>
        </w:tc>
        <w:tc>
          <w:tcPr>
            <w:tcW w:w="362" w:type="pct"/>
            <w:vAlign w:val="center"/>
          </w:tcPr>
          <w:p w14:paraId="178D50B7">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8分</w:t>
            </w:r>
          </w:p>
        </w:tc>
        <w:tc>
          <w:tcPr>
            <w:tcW w:w="3547" w:type="pct"/>
            <w:vAlign w:val="center"/>
          </w:tcPr>
          <w:p w14:paraId="235E30A2">
            <w:pPr>
              <w:spacing w:line="360" w:lineRule="exact"/>
              <w:ind w:firstLine="422" w:firstLineChars="200"/>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提供主要检测鉴定组织方案、检测鉴定方法及检测鉴定工艺，详细说明特殊检测鉴定工艺及质量保证，以及对检测鉴定工作重点和难点分析及应采取的措施：</w:t>
            </w:r>
          </w:p>
          <w:p w14:paraId="6F7C7A82">
            <w:pPr>
              <w:spacing w:line="3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内容全面具体，方案及工艺符合规范，重点难点分析到位，措施合理可行得6-8分；内容全面具体，方案及工艺符合规范，重点难点分析基本到位，措施基本可行得4-6分；内容略有缺漏，方案及工艺基本符合规范，重点难点分析不够到位，措施基本可行得2-4分；内容缺漏较多，方案及工艺不够规范，重点难点分析不到位，措施可行性差得0-2分。不提供不得分。</w:t>
            </w:r>
          </w:p>
        </w:tc>
      </w:tr>
      <w:tr w14:paraId="67FB3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Merge w:val="continue"/>
            <w:vAlign w:val="center"/>
          </w:tcPr>
          <w:p w14:paraId="3D19655C">
            <w:pPr>
              <w:spacing w:line="300" w:lineRule="exact"/>
              <w:jc w:val="center"/>
              <w:rPr>
                <w:rFonts w:hint="eastAsia" w:asciiTheme="minorEastAsia" w:hAnsiTheme="minorEastAsia" w:eastAsiaTheme="minorEastAsia" w:cstheme="minorEastAsia"/>
                <w:szCs w:val="21"/>
              </w:rPr>
            </w:pPr>
          </w:p>
        </w:tc>
        <w:tc>
          <w:tcPr>
            <w:tcW w:w="835" w:type="pct"/>
            <w:vMerge w:val="continue"/>
            <w:vAlign w:val="center"/>
          </w:tcPr>
          <w:p w14:paraId="12525AC8">
            <w:pPr>
              <w:spacing w:line="300" w:lineRule="exact"/>
              <w:jc w:val="center"/>
              <w:rPr>
                <w:rFonts w:hint="eastAsia" w:asciiTheme="minorEastAsia" w:hAnsiTheme="minorEastAsia" w:eastAsiaTheme="minorEastAsia" w:cstheme="minorEastAsia"/>
                <w:szCs w:val="21"/>
              </w:rPr>
            </w:pPr>
          </w:p>
        </w:tc>
        <w:tc>
          <w:tcPr>
            <w:tcW w:w="362" w:type="pct"/>
            <w:vAlign w:val="center"/>
          </w:tcPr>
          <w:p w14:paraId="7C7174C2">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7分</w:t>
            </w:r>
          </w:p>
        </w:tc>
        <w:tc>
          <w:tcPr>
            <w:tcW w:w="3547" w:type="pct"/>
            <w:vAlign w:val="center"/>
          </w:tcPr>
          <w:p w14:paraId="279928F8">
            <w:pPr>
              <w:spacing w:line="360" w:lineRule="exact"/>
              <w:ind w:firstLine="422" w:firstLineChars="200"/>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拟投入本项目专业检测</w:t>
            </w:r>
            <w:r>
              <w:rPr>
                <w:rFonts w:hint="eastAsia" w:ascii="宋体" w:hAnsi="宋体" w:cs="宋体"/>
                <w:szCs w:val="21"/>
              </w:rPr>
              <w:t>机械</w:t>
            </w:r>
            <w:r>
              <w:rPr>
                <w:rFonts w:hint="eastAsia" w:asciiTheme="minorEastAsia" w:hAnsiTheme="minorEastAsia" w:eastAsiaTheme="minorEastAsia" w:cstheme="minorEastAsia"/>
                <w:b/>
                <w:bCs/>
                <w:szCs w:val="21"/>
              </w:rPr>
              <w:t>设备方案：</w:t>
            </w:r>
          </w:p>
          <w:p w14:paraId="39C57A8D">
            <w:pPr>
              <w:spacing w:line="3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机械设备配备充足、合理，能很好满足项目进度要求得7分；机械设备配备充足，合理性一般，基本满足项目进度要求得4分；机械配备不够充足或配备合理性较差，部分满足项目需求得2分。</w:t>
            </w:r>
          </w:p>
        </w:tc>
      </w:tr>
      <w:tr w14:paraId="459EB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Merge w:val="continue"/>
            <w:vAlign w:val="center"/>
          </w:tcPr>
          <w:p w14:paraId="2CBFE7E5">
            <w:pPr>
              <w:spacing w:line="300" w:lineRule="exact"/>
              <w:jc w:val="center"/>
              <w:rPr>
                <w:rFonts w:hint="eastAsia" w:asciiTheme="minorEastAsia" w:hAnsiTheme="minorEastAsia" w:eastAsiaTheme="minorEastAsia" w:cstheme="minorEastAsia"/>
                <w:szCs w:val="21"/>
              </w:rPr>
            </w:pPr>
          </w:p>
        </w:tc>
        <w:tc>
          <w:tcPr>
            <w:tcW w:w="835" w:type="pct"/>
            <w:vMerge w:val="continue"/>
            <w:vAlign w:val="center"/>
          </w:tcPr>
          <w:p w14:paraId="5930003A">
            <w:pPr>
              <w:spacing w:line="300" w:lineRule="exact"/>
              <w:jc w:val="center"/>
              <w:rPr>
                <w:rFonts w:hint="eastAsia" w:asciiTheme="minorEastAsia" w:hAnsiTheme="minorEastAsia" w:eastAsiaTheme="minorEastAsia" w:cstheme="minorEastAsia"/>
                <w:szCs w:val="21"/>
              </w:rPr>
            </w:pPr>
          </w:p>
        </w:tc>
        <w:tc>
          <w:tcPr>
            <w:tcW w:w="362" w:type="pct"/>
            <w:vAlign w:val="center"/>
          </w:tcPr>
          <w:p w14:paraId="21858837">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7分</w:t>
            </w:r>
          </w:p>
        </w:tc>
        <w:tc>
          <w:tcPr>
            <w:tcW w:w="3547" w:type="pct"/>
            <w:vAlign w:val="center"/>
          </w:tcPr>
          <w:p w14:paraId="1AC762FA">
            <w:pPr>
              <w:spacing w:line="360" w:lineRule="exact"/>
              <w:ind w:firstLine="422" w:firstLineChars="200"/>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提供为本项目制定的工期计划（检测鉴定工期计划）及对应的保证措施，由评标委员会进行综合评定：</w:t>
            </w:r>
          </w:p>
          <w:p w14:paraId="6E2CBEC0">
            <w:pPr>
              <w:spacing w:line="3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工期计划安排合理，能很好地满足项目需求，质量保证措施内容全面具体，可行性高得7分；工期计划安排较合理，质量保证措施内容全面具体，可行性一般得4分；工期计划安排不够合理，质量保证措施描述简单，可行性差得3分。</w:t>
            </w:r>
          </w:p>
        </w:tc>
      </w:tr>
      <w:tr w14:paraId="5A461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Merge w:val="continue"/>
            <w:vAlign w:val="center"/>
          </w:tcPr>
          <w:p w14:paraId="74402CA2">
            <w:pPr>
              <w:spacing w:line="300" w:lineRule="exact"/>
              <w:jc w:val="center"/>
              <w:rPr>
                <w:rFonts w:hint="eastAsia" w:asciiTheme="minorEastAsia" w:hAnsiTheme="minorEastAsia" w:eastAsiaTheme="minorEastAsia" w:cstheme="minorEastAsia"/>
                <w:szCs w:val="21"/>
              </w:rPr>
            </w:pPr>
          </w:p>
        </w:tc>
        <w:tc>
          <w:tcPr>
            <w:tcW w:w="835" w:type="pct"/>
            <w:vMerge w:val="continue"/>
            <w:vAlign w:val="center"/>
          </w:tcPr>
          <w:p w14:paraId="5CFD4214">
            <w:pPr>
              <w:spacing w:line="300" w:lineRule="exact"/>
              <w:jc w:val="center"/>
              <w:rPr>
                <w:rFonts w:hint="eastAsia" w:asciiTheme="minorEastAsia" w:hAnsiTheme="minorEastAsia" w:eastAsiaTheme="minorEastAsia" w:cstheme="minorEastAsia"/>
                <w:szCs w:val="21"/>
              </w:rPr>
            </w:pPr>
          </w:p>
        </w:tc>
        <w:tc>
          <w:tcPr>
            <w:tcW w:w="362" w:type="pct"/>
            <w:vAlign w:val="center"/>
          </w:tcPr>
          <w:p w14:paraId="7ADCE396">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6分</w:t>
            </w:r>
          </w:p>
        </w:tc>
        <w:tc>
          <w:tcPr>
            <w:tcW w:w="3547" w:type="pct"/>
            <w:vAlign w:val="center"/>
          </w:tcPr>
          <w:p w14:paraId="0713E808">
            <w:pPr>
              <w:spacing w:line="360" w:lineRule="exact"/>
              <w:ind w:firstLine="422" w:firstLineChars="200"/>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投标人制定保证安全生产、文明施工、减少扰民降低环境污染和噪音的相关措施：</w:t>
            </w:r>
          </w:p>
          <w:p w14:paraId="21B93C2C">
            <w:pPr>
              <w:spacing w:line="3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相关措施内容全面具体，可行性强得6分；措施较全面具体，可行性一般得4分；仅作简单描述，措施可行性差得2分。</w:t>
            </w:r>
          </w:p>
        </w:tc>
      </w:tr>
      <w:tr w14:paraId="19B5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8" w:hRule="atLeast"/>
          <w:jc w:val="center"/>
        </w:trPr>
        <w:tc>
          <w:tcPr>
            <w:tcW w:w="256" w:type="pct"/>
            <w:vMerge w:val="continue"/>
            <w:vAlign w:val="center"/>
          </w:tcPr>
          <w:p w14:paraId="4F326DB3">
            <w:pPr>
              <w:spacing w:line="300" w:lineRule="exact"/>
              <w:jc w:val="center"/>
              <w:rPr>
                <w:rFonts w:hint="eastAsia" w:asciiTheme="minorEastAsia" w:hAnsiTheme="minorEastAsia" w:eastAsiaTheme="minorEastAsia" w:cstheme="minorEastAsia"/>
                <w:szCs w:val="21"/>
              </w:rPr>
            </w:pPr>
          </w:p>
        </w:tc>
        <w:tc>
          <w:tcPr>
            <w:tcW w:w="835" w:type="pct"/>
            <w:vMerge w:val="continue"/>
            <w:vAlign w:val="center"/>
          </w:tcPr>
          <w:p w14:paraId="5CA758D2">
            <w:pPr>
              <w:spacing w:line="300" w:lineRule="exact"/>
              <w:jc w:val="center"/>
              <w:rPr>
                <w:rFonts w:hint="eastAsia" w:asciiTheme="minorEastAsia" w:hAnsiTheme="minorEastAsia" w:eastAsiaTheme="minorEastAsia" w:cstheme="minorEastAsia"/>
                <w:szCs w:val="21"/>
              </w:rPr>
            </w:pPr>
          </w:p>
        </w:tc>
        <w:tc>
          <w:tcPr>
            <w:tcW w:w="362" w:type="pct"/>
            <w:vAlign w:val="center"/>
          </w:tcPr>
          <w:p w14:paraId="1B07669A">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7分</w:t>
            </w:r>
          </w:p>
        </w:tc>
        <w:tc>
          <w:tcPr>
            <w:tcW w:w="3547" w:type="pct"/>
            <w:vAlign w:val="center"/>
          </w:tcPr>
          <w:p w14:paraId="05F7F485">
            <w:pPr>
              <w:spacing w:line="360" w:lineRule="exact"/>
              <w:ind w:firstLine="422" w:firstLineChars="200"/>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szCs w:val="21"/>
              </w:rPr>
              <w:t>投标人针对本项目</w:t>
            </w:r>
            <w:r>
              <w:rPr>
                <w:rFonts w:hint="eastAsia" w:ascii="宋体" w:hAnsi="宋体" w:cs="宋体"/>
                <w:b/>
                <w:bCs/>
                <w:szCs w:val="21"/>
              </w:rPr>
              <w:t>提供</w:t>
            </w:r>
            <w:r>
              <w:rPr>
                <w:rFonts w:hint="eastAsia" w:asciiTheme="minorEastAsia" w:hAnsiTheme="minorEastAsia" w:eastAsiaTheme="minorEastAsia" w:cstheme="minorEastAsia"/>
                <w:b/>
                <w:bCs/>
                <w:szCs w:val="21"/>
              </w:rPr>
              <w:t>切实可行的增值服务方案：</w:t>
            </w:r>
          </w:p>
          <w:p w14:paraId="146C4C3D">
            <w:pPr>
              <w:spacing w:line="3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增值服务方案描述具体，针对性及可行性强得7分；方案描述具体，可实施性及针对性一般得5分；仅作简单描述，可实施性及针对性较差得3分。</w:t>
            </w:r>
          </w:p>
        </w:tc>
      </w:tr>
    </w:tbl>
    <w:p w14:paraId="31534021">
      <w:pPr>
        <w:tabs>
          <w:tab w:val="left" w:pos="5940"/>
        </w:tabs>
        <w:snapToGrid w:val="0"/>
        <w:spacing w:line="360" w:lineRule="exact"/>
        <w:jc w:val="left"/>
        <w:rPr>
          <w:rFonts w:ascii="宋体" w:hAnsi="宋体" w:cs="宋体"/>
          <w:bCs/>
          <w:szCs w:val="21"/>
        </w:rPr>
      </w:pPr>
    </w:p>
    <w:p w14:paraId="4FB2FCC8">
      <w:pPr>
        <w:tabs>
          <w:tab w:val="left" w:pos="5940"/>
        </w:tabs>
        <w:snapToGrid w:val="0"/>
        <w:spacing w:line="360" w:lineRule="exact"/>
        <w:ind w:firstLine="420" w:firstLineChars="200"/>
        <w:jc w:val="left"/>
        <w:rPr>
          <w:rFonts w:ascii="宋体" w:hAnsi="宋体" w:cs="宋体"/>
          <w:bCs/>
          <w:szCs w:val="21"/>
        </w:rPr>
      </w:pPr>
      <w:r>
        <w:rPr>
          <w:rFonts w:hint="eastAsia" w:ascii="宋体" w:hAnsi="宋体" w:cs="宋体"/>
          <w:bCs/>
          <w:szCs w:val="21"/>
        </w:rPr>
        <w:t xml:space="preserve">注： </w:t>
      </w:r>
    </w:p>
    <w:p w14:paraId="43601589">
      <w:pPr>
        <w:tabs>
          <w:tab w:val="left" w:pos="5940"/>
        </w:tabs>
        <w:snapToGrid w:val="0"/>
        <w:spacing w:line="360" w:lineRule="exact"/>
        <w:ind w:firstLine="420" w:firstLineChars="200"/>
        <w:jc w:val="left"/>
        <w:rPr>
          <w:rFonts w:ascii="宋体" w:hAnsi="宋体" w:cs="宋体"/>
          <w:bCs/>
          <w:szCs w:val="21"/>
        </w:rPr>
      </w:pPr>
      <w:r>
        <w:rPr>
          <w:rFonts w:hint="eastAsia" w:ascii="宋体" w:hAnsi="宋体" w:cs="宋体"/>
          <w:bCs/>
          <w:szCs w:val="21"/>
        </w:rPr>
        <w:t>1.评分细则中要求提供的证明文件及资料等在磋商响应文件中提供复印件并加盖鲜章，要求“原件或公证件核查”的必须将原件或公证件携带至开标现场核查，否则不得分。</w:t>
      </w:r>
    </w:p>
    <w:p w14:paraId="64C6D2E5">
      <w:pPr>
        <w:tabs>
          <w:tab w:val="left" w:pos="5940"/>
        </w:tabs>
        <w:snapToGrid w:val="0"/>
        <w:spacing w:line="360" w:lineRule="exact"/>
        <w:ind w:firstLine="420" w:firstLineChars="200"/>
        <w:jc w:val="left"/>
        <w:rPr>
          <w:rFonts w:ascii="宋体" w:hAnsi="宋体" w:cs="宋体"/>
          <w:bCs/>
          <w:szCs w:val="21"/>
        </w:rPr>
      </w:pPr>
      <w:r>
        <w:rPr>
          <w:rFonts w:hint="eastAsia" w:ascii="宋体" w:hAnsi="宋体" w:cs="宋体"/>
          <w:bCs/>
          <w:szCs w:val="21"/>
        </w:rPr>
        <w:t>2.评审时，未能按以上要求提供相应证明（复印件和原件、公证件）的，不作为评审依据，不得分。</w:t>
      </w:r>
    </w:p>
    <w:p w14:paraId="51068A87">
      <w:pPr>
        <w:pStyle w:val="56"/>
        <w:snapToGrid w:val="0"/>
        <w:spacing w:line="360" w:lineRule="exact"/>
        <w:ind w:firstLineChars="0"/>
        <w:rPr>
          <w:rFonts w:ascii="宋体" w:hAnsi="宋体" w:cs="宋体"/>
          <w:b/>
          <w:sz w:val="21"/>
          <w:szCs w:val="21"/>
        </w:rPr>
      </w:pPr>
      <w:r>
        <w:rPr>
          <w:rFonts w:hint="eastAsia" w:ascii="宋体" w:hAnsi="宋体" w:cs="宋体"/>
          <w:bCs/>
          <w:sz w:val="21"/>
          <w:szCs w:val="21"/>
        </w:rPr>
        <w:t>3.为便于评分，请供应商按评分表样式，逐条列出证明材料所在页码，格式自定。</w:t>
      </w:r>
    </w:p>
    <w:p w14:paraId="57FCE83C">
      <w:pPr>
        <w:jc w:val="center"/>
        <w:rPr>
          <w:rFonts w:ascii="宋体" w:hAnsi="宋体" w:cs="宋体"/>
          <w:b/>
          <w:sz w:val="30"/>
          <w:szCs w:val="30"/>
        </w:rPr>
        <w:sectPr>
          <w:headerReference r:id="rId8" w:type="first"/>
          <w:headerReference r:id="rId7" w:type="even"/>
          <w:footerReference r:id="rId9" w:type="even"/>
          <w:pgSz w:w="11907" w:h="16839"/>
          <w:pgMar w:top="1440" w:right="1800" w:bottom="1440" w:left="1800" w:header="851" w:footer="992" w:gutter="0"/>
          <w:cols w:space="720" w:num="1"/>
          <w:docGrid w:type="lines" w:linePitch="312" w:charSpace="0"/>
        </w:sectPr>
      </w:pPr>
    </w:p>
    <w:p w14:paraId="2508C3DD">
      <w:pPr>
        <w:pStyle w:val="2"/>
        <w:rPr>
          <w:rFonts w:ascii="宋体" w:hAnsi="宋体" w:cs="宋体"/>
        </w:rPr>
      </w:pPr>
      <w:r>
        <w:rPr>
          <w:rFonts w:hint="eastAsia" w:ascii="宋体" w:hAnsi="宋体" w:cs="宋体"/>
        </w:rPr>
        <w:t>第五章  磋商响应文件的组成</w:t>
      </w:r>
      <w:bookmarkEnd w:id="6"/>
    </w:p>
    <w:p w14:paraId="64E60A8C">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一、资格审查材料</w:t>
      </w:r>
    </w:p>
    <w:p w14:paraId="25EF5343">
      <w:pPr>
        <w:adjustRightInd w:val="0"/>
        <w:snapToGrid w:val="0"/>
        <w:spacing w:line="360" w:lineRule="exact"/>
        <w:ind w:firstLine="420" w:firstLineChars="200"/>
        <w:rPr>
          <w:rFonts w:cs="宋体" w:asciiTheme="minorEastAsia" w:hAnsiTheme="minorEastAsia" w:eastAsiaTheme="minorEastAsia"/>
          <w:szCs w:val="21"/>
        </w:rPr>
      </w:pPr>
      <w:r>
        <w:rPr>
          <w:rFonts w:hint="eastAsia" w:ascii="宋体" w:cs="宋体"/>
          <w:bCs/>
          <w:kern w:val="0"/>
          <w:szCs w:val="21"/>
        </w:rPr>
        <w:t>★</w:t>
      </w:r>
      <w:r>
        <w:rPr>
          <w:rFonts w:hint="eastAsia" w:cs="宋体" w:asciiTheme="minorEastAsia" w:hAnsiTheme="minorEastAsia" w:eastAsiaTheme="minorEastAsia"/>
          <w:szCs w:val="21"/>
        </w:rPr>
        <w:t>1.供应商资格声明函</w:t>
      </w:r>
    </w:p>
    <w:p w14:paraId="156EF2A8">
      <w:pPr>
        <w:spacing w:line="360" w:lineRule="exact"/>
        <w:ind w:firstLine="420" w:firstLineChars="200"/>
        <w:rPr>
          <w:rFonts w:cs="宋体" w:asciiTheme="minorEastAsia" w:hAnsiTheme="minorEastAsia" w:eastAsiaTheme="minorEastAsia"/>
          <w:szCs w:val="21"/>
        </w:rPr>
      </w:pPr>
      <w:r>
        <w:rPr>
          <w:rFonts w:hint="eastAsia" w:ascii="宋体" w:cs="宋体"/>
          <w:bCs/>
          <w:kern w:val="0"/>
          <w:szCs w:val="21"/>
        </w:rPr>
        <w:t>★</w:t>
      </w:r>
      <w:r>
        <w:rPr>
          <w:rFonts w:hint="eastAsia" w:cs="宋体" w:asciiTheme="minorEastAsia" w:hAnsiTheme="minorEastAsia" w:eastAsiaTheme="minorEastAsia"/>
          <w:szCs w:val="21"/>
        </w:rPr>
        <w:t>2.磋商响应函</w:t>
      </w:r>
    </w:p>
    <w:p w14:paraId="4CCDC5FC">
      <w:pPr>
        <w:spacing w:line="360" w:lineRule="exact"/>
        <w:ind w:firstLine="420" w:firstLineChars="200"/>
        <w:rPr>
          <w:rFonts w:cs="宋体" w:asciiTheme="minorEastAsia" w:hAnsiTheme="minorEastAsia" w:eastAsiaTheme="minorEastAsia"/>
          <w:color w:val="auto"/>
          <w:szCs w:val="21"/>
          <w:highlight w:val="none"/>
        </w:rPr>
      </w:pPr>
      <w:r>
        <w:rPr>
          <w:rFonts w:hint="eastAsia" w:ascii="宋体" w:cs="宋体"/>
          <w:bCs/>
          <w:color w:val="auto"/>
          <w:kern w:val="0"/>
          <w:szCs w:val="21"/>
          <w:highlight w:val="none"/>
        </w:rPr>
        <w:t>★</w:t>
      </w:r>
      <w:r>
        <w:rPr>
          <w:rFonts w:hint="eastAsia" w:cs="宋体" w:asciiTheme="minorEastAsia" w:hAnsiTheme="minorEastAsia" w:eastAsiaTheme="minorEastAsia"/>
          <w:color w:val="auto"/>
          <w:szCs w:val="21"/>
          <w:highlight w:val="none"/>
        </w:rPr>
        <w:t>3.法人或者其他组织的营业执照等证明文件</w:t>
      </w:r>
      <w:r>
        <w:rPr>
          <w:rFonts w:hint="eastAsia" w:ascii="宋体" w:cs="宋体"/>
          <w:bCs/>
          <w:color w:val="auto"/>
          <w:kern w:val="0"/>
          <w:szCs w:val="21"/>
          <w:highlight w:val="none"/>
          <w:lang w:eastAsia="zh-CN"/>
        </w:rPr>
        <w:t>（</w:t>
      </w:r>
      <w:r>
        <w:rPr>
          <w:rFonts w:hint="eastAsia" w:ascii="宋体" w:hAnsi="宋体" w:cs="宋体"/>
          <w:color w:val="auto"/>
          <w:szCs w:val="21"/>
          <w:highlight w:val="none"/>
          <w:lang w:val="en-US" w:eastAsia="zh-CN"/>
        </w:rPr>
        <w:t>如为联合体形式参与，联合体双方共同提供</w:t>
      </w:r>
      <w:r>
        <w:rPr>
          <w:rFonts w:hint="eastAsia" w:ascii="宋体" w:cs="宋体"/>
          <w:bCs/>
          <w:color w:val="auto"/>
          <w:kern w:val="0"/>
          <w:szCs w:val="21"/>
          <w:highlight w:val="none"/>
          <w:lang w:eastAsia="zh-CN"/>
        </w:rPr>
        <w:t>）</w:t>
      </w:r>
    </w:p>
    <w:p w14:paraId="7BFC61E2">
      <w:pPr>
        <w:spacing w:line="360" w:lineRule="exact"/>
        <w:ind w:firstLine="420" w:firstLineChars="200"/>
        <w:rPr>
          <w:rFonts w:cs="宋体" w:asciiTheme="minorEastAsia" w:hAnsiTheme="minorEastAsia" w:eastAsiaTheme="minorEastAsia"/>
          <w:color w:val="auto"/>
          <w:szCs w:val="21"/>
          <w:highlight w:val="none"/>
        </w:rPr>
      </w:pPr>
      <w:r>
        <w:rPr>
          <w:rFonts w:hint="eastAsia" w:ascii="宋体" w:cs="宋体"/>
          <w:bCs/>
          <w:color w:val="auto"/>
          <w:kern w:val="0"/>
          <w:szCs w:val="21"/>
          <w:highlight w:val="none"/>
        </w:rPr>
        <w:t>★</w:t>
      </w:r>
      <w:r>
        <w:rPr>
          <w:rFonts w:hint="eastAsia" w:cs="宋体" w:asciiTheme="minorEastAsia" w:hAnsiTheme="minorEastAsia" w:eastAsiaTheme="minorEastAsia"/>
          <w:color w:val="auto"/>
          <w:szCs w:val="21"/>
          <w:highlight w:val="none"/>
        </w:rPr>
        <w:t>4.法定代表人资格证明书、法定代表人身份证复印件（双面）</w:t>
      </w:r>
    </w:p>
    <w:p w14:paraId="50417B6F">
      <w:pPr>
        <w:spacing w:line="360" w:lineRule="exact"/>
        <w:ind w:firstLine="420" w:firstLineChars="200"/>
        <w:rPr>
          <w:rFonts w:cs="宋体" w:asciiTheme="minorEastAsia" w:hAnsiTheme="minorEastAsia" w:eastAsiaTheme="minorEastAsia"/>
          <w:color w:val="auto"/>
          <w:szCs w:val="21"/>
          <w:highlight w:val="none"/>
        </w:rPr>
      </w:pPr>
      <w:r>
        <w:rPr>
          <w:rFonts w:hint="eastAsia" w:ascii="宋体" w:cs="宋体"/>
          <w:bCs/>
          <w:color w:val="auto"/>
          <w:kern w:val="0"/>
          <w:szCs w:val="21"/>
          <w:highlight w:val="none"/>
        </w:rPr>
        <w:t>★</w:t>
      </w:r>
      <w:r>
        <w:rPr>
          <w:rFonts w:hint="eastAsia" w:cs="宋体" w:asciiTheme="minorEastAsia" w:hAnsiTheme="minorEastAsia" w:eastAsiaTheme="minorEastAsia"/>
          <w:color w:val="auto"/>
          <w:szCs w:val="21"/>
          <w:highlight w:val="none"/>
        </w:rPr>
        <w:t>5.授权委托书、代理人身份证复印件（双面）、供应商近三个月内任意一个月（自磋商之日往前推）为其缴纳社保的记录（如有授权委托情况的，必须提供）</w:t>
      </w:r>
    </w:p>
    <w:p w14:paraId="40E7AB18">
      <w:pPr>
        <w:spacing w:line="360" w:lineRule="exact"/>
        <w:ind w:firstLine="422" w:firstLineChars="201"/>
        <w:rPr>
          <w:rFonts w:ascii="宋体" w:hAnsi="宋体" w:cs="宋体"/>
          <w:color w:val="auto"/>
          <w:szCs w:val="21"/>
          <w:highlight w:val="none"/>
        </w:rPr>
      </w:pPr>
      <w:r>
        <w:rPr>
          <w:rFonts w:hint="eastAsia" w:ascii="宋体" w:cs="宋体"/>
          <w:bCs/>
          <w:color w:val="auto"/>
          <w:kern w:val="0"/>
          <w:szCs w:val="21"/>
          <w:highlight w:val="none"/>
        </w:rPr>
        <w:t>★</w:t>
      </w:r>
      <w:r>
        <w:rPr>
          <w:rFonts w:hint="eastAsia" w:ascii="宋体" w:cs="宋体"/>
          <w:bCs/>
          <w:color w:val="auto"/>
          <w:kern w:val="0"/>
          <w:szCs w:val="21"/>
          <w:highlight w:val="none"/>
          <w:lang w:val="en-US" w:eastAsia="zh-CN"/>
        </w:rPr>
        <w:t>6</w:t>
      </w:r>
      <w:r>
        <w:rPr>
          <w:rFonts w:hint="eastAsia" w:ascii="宋体" w:cs="宋体"/>
          <w:bCs/>
          <w:color w:val="auto"/>
          <w:kern w:val="0"/>
          <w:szCs w:val="21"/>
          <w:highlight w:val="none"/>
        </w:rPr>
        <w:t>.</w:t>
      </w:r>
      <w:r>
        <w:rPr>
          <w:rFonts w:hint="eastAsia" w:ascii="宋体" w:hAnsi="宋体" w:cs="宋体"/>
          <w:color w:val="auto"/>
          <w:szCs w:val="21"/>
          <w:highlight w:val="none"/>
        </w:rPr>
        <w:t>提供“信用中国”网站下列查询截图：</w:t>
      </w:r>
    </w:p>
    <w:p w14:paraId="0BAB12B9">
      <w:pPr>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（1）信用记录行政处罚(www.creditchina.gov.cn)</w:t>
      </w:r>
    </w:p>
    <w:p w14:paraId="44BEE52A">
      <w:pPr>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（2）失信被执行人（https://zxgk.court.gov.cn/shixin/）</w:t>
      </w:r>
    </w:p>
    <w:p w14:paraId="106A72C2">
      <w:pPr>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（3）重大税收违法案件当事人名单</w:t>
      </w:r>
    </w:p>
    <w:p w14:paraId="05FD1BDC">
      <w:pPr>
        <w:spacing w:line="360" w:lineRule="exact"/>
        <w:rPr>
          <w:rFonts w:ascii="宋体" w:hAnsi="宋体" w:cs="宋体"/>
          <w:color w:val="auto"/>
          <w:szCs w:val="21"/>
          <w:highlight w:val="none"/>
        </w:rPr>
      </w:pPr>
      <w:r>
        <w:rPr>
          <w:rFonts w:hint="eastAsia" w:ascii="宋体" w:hAnsi="宋体" w:cs="宋体"/>
          <w:color w:val="auto"/>
          <w:szCs w:val="21"/>
          <w:highlight w:val="none"/>
        </w:rPr>
        <w:t>（https://www.creditchina.gov.cn/zhuanxiangchaxun/zhongdashuishouweifaanjian/）</w:t>
      </w:r>
    </w:p>
    <w:p w14:paraId="3D566255">
      <w:pPr>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（4）严重失信行为记录名单</w:t>
      </w:r>
    </w:p>
    <w:p w14:paraId="73DF5A64">
      <w:pPr>
        <w:spacing w:line="360" w:lineRule="exact"/>
        <w:rPr>
          <w:rFonts w:ascii="宋体" w:hAnsi="宋体" w:cs="宋体"/>
          <w:color w:val="auto"/>
          <w:szCs w:val="21"/>
          <w:highlight w:val="none"/>
        </w:rPr>
      </w:pPr>
      <w:r>
        <w:rPr>
          <w:rFonts w:hint="eastAsia" w:ascii="宋体" w:hAnsi="宋体" w:cs="宋体"/>
          <w:color w:val="auto"/>
          <w:szCs w:val="21"/>
          <w:highlight w:val="none"/>
        </w:rPr>
        <w:t>（https://www.creditchina.gov.cn/xinxigongshi/shixinheimingdan/）</w:t>
      </w:r>
    </w:p>
    <w:p w14:paraId="4D8C130D">
      <w:pPr>
        <w:adjustRightInd w:val="0"/>
        <w:snapToGrid w:val="0"/>
        <w:spacing w:line="360" w:lineRule="exact"/>
        <w:ind w:firstLine="420" w:firstLineChars="200"/>
        <w:jc w:val="left"/>
        <w:rPr>
          <w:rFonts w:ascii="宋体" w:hAnsi="宋体" w:cs="宋体"/>
          <w:color w:val="auto"/>
          <w:szCs w:val="21"/>
        </w:rPr>
      </w:pPr>
      <w:r>
        <w:rPr>
          <w:rFonts w:hint="eastAsia" w:ascii="宋体" w:cs="宋体"/>
          <w:bCs/>
          <w:color w:val="auto"/>
          <w:kern w:val="0"/>
          <w:szCs w:val="21"/>
        </w:rPr>
        <w:t>★</w:t>
      </w:r>
      <w:r>
        <w:rPr>
          <w:rFonts w:hint="eastAsia" w:ascii="宋体" w:hAnsi="宋体" w:cs="宋体"/>
          <w:color w:val="auto"/>
          <w:szCs w:val="21"/>
          <w:lang w:val="en-US" w:eastAsia="zh-CN"/>
        </w:rPr>
        <w:t>7</w:t>
      </w:r>
      <w:r>
        <w:rPr>
          <w:rFonts w:hint="eastAsia" w:ascii="宋体" w:hAnsi="宋体" w:cs="宋体"/>
          <w:color w:val="auto"/>
          <w:szCs w:val="21"/>
        </w:rPr>
        <w:t xml:space="preserve">.具备结构设计甲级资质 </w:t>
      </w:r>
    </w:p>
    <w:p w14:paraId="10447CA4">
      <w:pPr>
        <w:adjustRightInd w:val="0"/>
        <w:snapToGrid w:val="0"/>
        <w:spacing w:line="360" w:lineRule="exact"/>
        <w:ind w:firstLine="420" w:firstLineChars="200"/>
        <w:jc w:val="left"/>
        <w:rPr>
          <w:rFonts w:hint="eastAsia" w:ascii="宋体" w:hAnsi="宋体" w:cs="宋体"/>
          <w:color w:val="auto"/>
          <w:szCs w:val="21"/>
        </w:rPr>
      </w:pPr>
      <w:r>
        <w:rPr>
          <w:rFonts w:hint="eastAsia" w:ascii="宋体" w:cs="宋体"/>
          <w:bCs/>
          <w:color w:val="auto"/>
          <w:kern w:val="0"/>
          <w:szCs w:val="21"/>
        </w:rPr>
        <w:t>★</w:t>
      </w:r>
      <w:r>
        <w:rPr>
          <w:rFonts w:hint="eastAsia" w:ascii="宋体" w:hAnsi="宋体" w:cs="宋体"/>
          <w:color w:val="auto"/>
          <w:szCs w:val="21"/>
          <w:lang w:val="en-US" w:eastAsia="zh-CN"/>
        </w:rPr>
        <w:t>8</w:t>
      </w:r>
      <w:r>
        <w:rPr>
          <w:rFonts w:hint="eastAsia" w:ascii="宋体" w:hAnsi="宋体" w:cs="宋体"/>
          <w:color w:val="auto"/>
          <w:szCs w:val="21"/>
        </w:rPr>
        <w:t xml:space="preserve">.具有建设行政主管部门核发的《建设工程质量检测机构资质证书》、《建设工程质量检测机构备案证书》；（上述两项资质内容均包括主体结构工程检测类、建筑地基基础质量检测类）；具有省级及以上技术监督部门颁发的CMA计量认证合格证书,计量认证证书的检测能力范围必须包含与本项目匹配的内容 </w:t>
      </w:r>
    </w:p>
    <w:p w14:paraId="4FB15CC8">
      <w:pPr>
        <w:adjustRightInd w:val="0"/>
        <w:snapToGrid w:val="0"/>
        <w:spacing w:line="360" w:lineRule="exact"/>
        <w:ind w:firstLine="420" w:firstLineChars="200"/>
        <w:jc w:val="left"/>
        <w:rPr>
          <w:rFonts w:hint="eastAsia" w:ascii="宋体" w:hAnsi="宋体" w:cs="宋体"/>
          <w:color w:val="auto"/>
          <w:szCs w:val="21"/>
        </w:rPr>
      </w:pPr>
      <w:r>
        <w:rPr>
          <w:rFonts w:hint="eastAsia" w:ascii="宋体" w:cs="宋体"/>
          <w:bCs/>
          <w:color w:val="auto"/>
          <w:kern w:val="0"/>
          <w:szCs w:val="21"/>
        </w:rPr>
        <w:t>★</w:t>
      </w:r>
      <w:r>
        <w:rPr>
          <w:rFonts w:hint="eastAsia" w:ascii="宋体" w:hAnsi="宋体" w:cs="宋体"/>
          <w:color w:val="auto"/>
          <w:szCs w:val="21"/>
          <w:lang w:val="en-US" w:eastAsia="zh-CN"/>
        </w:rPr>
        <w:t>9.投标人具有从事消防设施维护保养检测或消防安全评估能力，提供社会消防技术服务信息系统官网截图</w:t>
      </w:r>
      <w:r>
        <w:rPr>
          <w:rFonts w:hint="eastAsia" w:ascii="宋体" w:hAnsi="宋体" w:cs="宋体"/>
          <w:color w:val="auto"/>
          <w:szCs w:val="21"/>
        </w:rPr>
        <w:t>。</w:t>
      </w:r>
    </w:p>
    <w:p w14:paraId="60178227">
      <w:pPr>
        <w:pStyle w:val="2"/>
        <w:ind w:firstLine="420" w:firstLineChars="200"/>
        <w:jc w:val="left"/>
        <w:rPr>
          <w:rFonts w:hint="eastAsia" w:ascii="宋体" w:hAnsi="Times New Roman" w:eastAsia="宋体" w:cs="宋体"/>
          <w:b w:val="0"/>
          <w:bCs/>
          <w:color w:val="auto"/>
          <w:kern w:val="0"/>
          <w:sz w:val="21"/>
          <w:szCs w:val="21"/>
          <w:lang w:val="en-US" w:eastAsia="zh-CN" w:bidi="ar-SA"/>
        </w:rPr>
      </w:pPr>
      <w:r>
        <w:rPr>
          <w:rFonts w:hint="eastAsia" w:ascii="宋体" w:hAnsi="Times New Roman" w:eastAsia="宋体" w:cs="宋体"/>
          <w:b w:val="0"/>
          <w:bCs/>
          <w:color w:val="auto"/>
          <w:kern w:val="0"/>
          <w:sz w:val="21"/>
          <w:szCs w:val="21"/>
          <w:lang w:val="en-US" w:eastAsia="zh-CN" w:bidi="ar-SA"/>
        </w:rPr>
        <w:t>★</w:t>
      </w:r>
      <w:r>
        <w:rPr>
          <w:rFonts w:hint="eastAsia" w:ascii="宋体" w:cs="宋体"/>
          <w:b w:val="0"/>
          <w:bCs/>
          <w:color w:val="auto"/>
          <w:kern w:val="0"/>
          <w:sz w:val="21"/>
          <w:szCs w:val="21"/>
          <w:lang w:val="en-US" w:eastAsia="zh-CN" w:bidi="ar-SA"/>
        </w:rPr>
        <w:t>10</w:t>
      </w:r>
      <w:r>
        <w:rPr>
          <w:rFonts w:hint="eastAsia" w:ascii="宋体" w:hAnsi="Times New Roman" w:eastAsia="宋体" w:cs="宋体"/>
          <w:b w:val="0"/>
          <w:bCs/>
          <w:color w:val="auto"/>
          <w:kern w:val="0"/>
          <w:sz w:val="21"/>
          <w:szCs w:val="21"/>
          <w:lang w:val="en-US" w:eastAsia="zh-CN" w:bidi="ar-SA"/>
        </w:rPr>
        <w:t>.联合体响应协议书（（如为联合体形式参与，必须提供）</w:t>
      </w:r>
    </w:p>
    <w:p w14:paraId="7354EE40">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二、价格及有关商务部分材料</w:t>
      </w:r>
    </w:p>
    <w:p w14:paraId="6AB220FA">
      <w:pPr>
        <w:spacing w:line="360" w:lineRule="exact"/>
        <w:ind w:firstLine="420" w:firstLineChars="200"/>
        <w:rPr>
          <w:rFonts w:cs="宋体" w:asciiTheme="minorEastAsia" w:hAnsiTheme="minorEastAsia" w:eastAsiaTheme="minorEastAsia"/>
          <w:szCs w:val="21"/>
        </w:rPr>
      </w:pPr>
      <w:r>
        <w:rPr>
          <w:rFonts w:hint="eastAsia" w:ascii="宋体" w:hAnsi="Times New Roman" w:eastAsia="宋体" w:cs="宋体"/>
          <w:b w:val="0"/>
          <w:bCs/>
          <w:kern w:val="0"/>
          <w:sz w:val="21"/>
          <w:szCs w:val="21"/>
          <w:lang w:val="en-US" w:eastAsia="zh-CN" w:bidi="ar-SA"/>
        </w:rPr>
        <w:t>★</w:t>
      </w:r>
      <w:r>
        <w:rPr>
          <w:rFonts w:hint="eastAsia" w:cs="宋体" w:asciiTheme="minorEastAsia" w:hAnsiTheme="minorEastAsia" w:eastAsiaTheme="minorEastAsia"/>
          <w:szCs w:val="21"/>
        </w:rPr>
        <w:t>1.报价一览表</w:t>
      </w:r>
    </w:p>
    <w:p w14:paraId="32C66EDA">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三、技术部分材料</w:t>
      </w:r>
    </w:p>
    <w:p w14:paraId="24737A90">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1.供应商简介</w:t>
      </w:r>
    </w:p>
    <w:p w14:paraId="19FBE3F8">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2.服务方案，包括人员配置、</w:t>
      </w:r>
      <w:r>
        <w:rPr>
          <w:rFonts w:hint="eastAsia" w:cs="宋体" w:asciiTheme="minorEastAsia" w:hAnsiTheme="minorEastAsia" w:eastAsiaTheme="minorEastAsia"/>
          <w:szCs w:val="21"/>
        </w:rPr>
        <w:t>服务详细实施方案</w:t>
      </w:r>
    </w:p>
    <w:p w14:paraId="16548B78">
      <w:pPr>
        <w:spacing w:line="360" w:lineRule="exact"/>
        <w:ind w:firstLine="420" w:firstLineChars="200"/>
        <w:rPr>
          <w:rFonts w:cs="宋体" w:asciiTheme="minorEastAsia" w:hAnsiTheme="minorEastAsia" w:eastAsiaTheme="minorEastAsia"/>
          <w:color w:val="000000"/>
          <w:szCs w:val="21"/>
        </w:rPr>
      </w:pPr>
      <w:r>
        <w:rPr>
          <w:rFonts w:hint="eastAsia" w:ascii="宋体" w:hAnsi="Times New Roman" w:eastAsia="宋体" w:cs="宋体"/>
          <w:b w:val="0"/>
          <w:bCs/>
          <w:kern w:val="0"/>
          <w:sz w:val="21"/>
          <w:szCs w:val="21"/>
          <w:lang w:val="en-US" w:eastAsia="zh-CN" w:bidi="ar-SA"/>
        </w:rPr>
        <w:t>★</w:t>
      </w:r>
      <w:r>
        <w:rPr>
          <w:rFonts w:hint="eastAsia" w:cs="宋体" w:asciiTheme="minorEastAsia" w:hAnsiTheme="minorEastAsia" w:eastAsiaTheme="minorEastAsia"/>
          <w:color w:val="000000"/>
          <w:szCs w:val="21"/>
        </w:rPr>
        <w:t>3.服务承诺</w:t>
      </w:r>
    </w:p>
    <w:p w14:paraId="24F12703">
      <w:pPr>
        <w:spacing w:line="360" w:lineRule="exact"/>
        <w:ind w:firstLine="420" w:firstLineChars="200"/>
        <w:rPr>
          <w:rFonts w:cs="宋体" w:asciiTheme="minorEastAsia" w:hAnsiTheme="minorEastAsia" w:eastAsiaTheme="minorEastAsia"/>
          <w:color w:val="000000"/>
          <w:szCs w:val="21"/>
        </w:rPr>
      </w:pPr>
      <w:r>
        <w:rPr>
          <w:rFonts w:hint="eastAsia" w:ascii="宋体" w:hAnsi="Times New Roman" w:eastAsia="宋体" w:cs="宋体"/>
          <w:b w:val="0"/>
          <w:bCs/>
          <w:kern w:val="0"/>
          <w:sz w:val="21"/>
          <w:szCs w:val="21"/>
          <w:lang w:val="en-US" w:eastAsia="zh-CN" w:bidi="ar-SA"/>
        </w:rPr>
        <w:t>★</w:t>
      </w:r>
      <w:r>
        <w:rPr>
          <w:rFonts w:hint="eastAsia" w:cs="宋体" w:asciiTheme="minorEastAsia" w:hAnsiTheme="minorEastAsia" w:eastAsiaTheme="minorEastAsia"/>
          <w:color w:val="000000"/>
          <w:szCs w:val="21"/>
        </w:rPr>
        <w:t>4.偏离表</w:t>
      </w:r>
    </w:p>
    <w:p w14:paraId="637F0012">
      <w:pPr>
        <w:spacing w:line="360" w:lineRule="exact"/>
        <w:ind w:firstLine="422" w:firstLineChars="201"/>
        <w:rPr>
          <w:rFonts w:ascii="宋体" w:hAnsi="宋体" w:cs="宋体"/>
          <w:szCs w:val="21"/>
        </w:rPr>
      </w:pPr>
      <w:r>
        <w:rPr>
          <w:rFonts w:hint="eastAsia" w:ascii="宋体" w:hAnsi="宋体" w:cs="宋体"/>
          <w:color w:val="000000"/>
          <w:szCs w:val="21"/>
        </w:rPr>
        <w:t>5.其他评审相关资料</w:t>
      </w:r>
    </w:p>
    <w:p w14:paraId="35F7AF93">
      <w:pPr>
        <w:spacing w:line="360" w:lineRule="exact"/>
        <w:ind w:firstLine="424" w:firstLineChars="201"/>
        <w:rPr>
          <w:rFonts w:ascii="宋体" w:hAnsi="宋体" w:cs="宋体"/>
          <w:b/>
          <w:bCs/>
          <w:szCs w:val="21"/>
        </w:rPr>
      </w:pPr>
      <w:r>
        <w:rPr>
          <w:rFonts w:hint="eastAsia" w:ascii="宋体" w:hAnsi="宋体" w:cs="宋体"/>
          <w:b/>
          <w:bCs/>
          <w:szCs w:val="21"/>
        </w:rPr>
        <w:t>四、说明</w:t>
      </w:r>
    </w:p>
    <w:p w14:paraId="47F4C4B3">
      <w:pPr>
        <w:spacing w:line="360" w:lineRule="exact"/>
        <w:ind w:firstLine="422" w:firstLineChars="201"/>
        <w:rPr>
          <w:rFonts w:ascii="宋体" w:hAnsi="宋体" w:cs="宋体"/>
          <w:b/>
          <w:bCs/>
          <w:szCs w:val="21"/>
        </w:rPr>
      </w:pPr>
      <w:r>
        <w:rPr>
          <w:rFonts w:hint="eastAsia" w:ascii="宋体" w:hAnsi="宋体" w:cs="宋体"/>
          <w:szCs w:val="21"/>
        </w:rPr>
        <w:t>1.上述带“</w:t>
      </w:r>
      <w:r>
        <w:rPr>
          <w:rFonts w:hint="eastAsia" w:ascii="宋体" w:hAnsi="Times New Roman" w:eastAsia="宋体" w:cs="宋体"/>
          <w:b w:val="0"/>
          <w:bCs/>
          <w:kern w:val="0"/>
          <w:sz w:val="21"/>
          <w:szCs w:val="21"/>
          <w:lang w:val="en-US" w:eastAsia="zh-CN" w:bidi="ar-SA"/>
        </w:rPr>
        <w:t>★</w:t>
      </w:r>
      <w:r>
        <w:rPr>
          <w:rFonts w:hint="eastAsia" w:ascii="宋体" w:hAnsi="宋体" w:cs="宋体"/>
          <w:szCs w:val="21"/>
        </w:rPr>
        <w:t>”条款供应商应在磋商响应文件中提供并加盖供应商公章，否则将作为无效响应处理。</w:t>
      </w:r>
      <w:r>
        <w:rPr>
          <w:rFonts w:hint="eastAsia" w:ascii="宋体" w:hAnsi="宋体" w:cs="宋体"/>
          <w:b/>
          <w:bCs/>
          <w:szCs w:val="21"/>
        </w:rPr>
        <w:t>未加盖公章的视为未提供该项材料。所有项目若有缺失或无效将可能导致磋商无效且不允许在磋商响应文件提交截止后补正。</w:t>
      </w:r>
    </w:p>
    <w:p w14:paraId="5E132D93">
      <w:pPr>
        <w:spacing w:line="360" w:lineRule="exact"/>
        <w:ind w:firstLine="422" w:firstLineChars="201"/>
        <w:rPr>
          <w:rFonts w:ascii="宋体" w:hAnsi="宋体" w:cs="宋体"/>
          <w:szCs w:val="21"/>
        </w:rPr>
      </w:pPr>
      <w:r>
        <w:rPr>
          <w:rFonts w:hint="eastAsia" w:ascii="宋体" w:hAnsi="宋体" w:cs="宋体"/>
          <w:szCs w:val="21"/>
        </w:rPr>
        <w:t>2.对本章所有的格式，供应商可根据自身情况进行补充和修改，但补充和修改不得造成与本格式内容有实质性的违背。供应商可提供其它相关的证明材料（不限于此）。</w:t>
      </w:r>
    </w:p>
    <w:p w14:paraId="707C2F86">
      <w:pPr>
        <w:spacing w:line="360" w:lineRule="exact"/>
        <w:ind w:firstLine="422" w:firstLineChars="201"/>
        <w:rPr>
          <w:rFonts w:ascii="宋体" w:hAnsi="宋体" w:cs="宋体"/>
          <w:b/>
          <w:szCs w:val="21"/>
        </w:rPr>
      </w:pPr>
      <w:r>
        <w:rPr>
          <w:rFonts w:hint="eastAsia" w:ascii="宋体" w:hAnsi="宋体" w:cs="宋体"/>
          <w:szCs w:val="21"/>
        </w:rPr>
        <w:t>3.供应商需按磋商响应文件的组成要求进行编制。</w:t>
      </w:r>
    </w:p>
    <w:p w14:paraId="513A5CAA">
      <w:pPr>
        <w:jc w:val="center"/>
        <w:rPr>
          <w:rFonts w:ascii="宋体" w:hAnsi="宋体" w:cs="宋体"/>
          <w:b/>
          <w:sz w:val="30"/>
          <w:szCs w:val="30"/>
        </w:rPr>
      </w:pPr>
    </w:p>
    <w:p w14:paraId="125802FB">
      <w:pPr>
        <w:pStyle w:val="2"/>
        <w:rPr>
          <w:rFonts w:ascii="宋体" w:hAnsi="宋体" w:cs="宋体"/>
        </w:rPr>
      </w:pPr>
      <w:bookmarkStart w:id="7" w:name="_Toc17537932"/>
      <w:r>
        <w:rPr>
          <w:rFonts w:hint="eastAsia" w:ascii="宋体" w:hAnsi="宋体" w:cs="宋体"/>
        </w:rPr>
        <w:t>第六章  附    件</w:t>
      </w:r>
      <w:bookmarkEnd w:id="7"/>
    </w:p>
    <w:p w14:paraId="4C0A763C">
      <w:pPr>
        <w:pStyle w:val="2"/>
        <w:jc w:val="left"/>
        <w:rPr>
          <w:rFonts w:asciiTheme="minorEastAsia" w:hAnsiTheme="minorEastAsia" w:eastAsiaTheme="minorEastAsia"/>
          <w:b w:val="0"/>
          <w:sz w:val="28"/>
          <w:szCs w:val="28"/>
        </w:rPr>
      </w:pPr>
      <w:r>
        <w:rPr>
          <w:rFonts w:cs="宋体" w:asciiTheme="minorEastAsia" w:hAnsiTheme="minorEastAsia" w:eastAsiaTheme="minorEastAsia"/>
          <w:sz w:val="28"/>
          <w:szCs w:val="28"/>
        </w:rPr>
        <w:t>1</w:t>
      </w:r>
      <w:r>
        <w:rPr>
          <w:rFonts w:hint="eastAsia" w:cs="宋体" w:asciiTheme="minorEastAsia" w:hAnsiTheme="minorEastAsia" w:eastAsiaTheme="minorEastAsia"/>
          <w:sz w:val="28"/>
          <w:szCs w:val="28"/>
        </w:rPr>
        <w:t>.</w:t>
      </w:r>
      <w:r>
        <w:rPr>
          <w:rFonts w:hint="eastAsia" w:asciiTheme="minorEastAsia" w:hAnsiTheme="minorEastAsia" w:eastAsiaTheme="minorEastAsia"/>
          <w:sz w:val="28"/>
          <w:szCs w:val="28"/>
        </w:rPr>
        <w:t>供应商资格声明函</w:t>
      </w:r>
    </w:p>
    <w:p w14:paraId="3DFF2CD1">
      <w:pPr>
        <w:pStyle w:val="5"/>
        <w:spacing w:line="460" w:lineRule="exact"/>
        <w:ind w:firstLine="0"/>
        <w:jc w:val="center"/>
        <w:rPr>
          <w:szCs w:val="24"/>
        </w:rPr>
      </w:pPr>
      <w:r>
        <w:rPr>
          <w:rFonts w:hint="eastAsia"/>
          <w:b/>
          <w:sz w:val="28"/>
          <w:szCs w:val="28"/>
        </w:rPr>
        <w:t>供应商资格声明函</w:t>
      </w:r>
    </w:p>
    <w:p w14:paraId="2C444D9F">
      <w:pPr>
        <w:pStyle w:val="5"/>
        <w:spacing w:line="360" w:lineRule="exact"/>
        <w:ind w:firstLine="0"/>
        <w:rPr>
          <w:sz w:val="21"/>
          <w:szCs w:val="21"/>
        </w:rPr>
      </w:pPr>
    </w:p>
    <w:p w14:paraId="0B23F207">
      <w:pPr>
        <w:pStyle w:val="5"/>
        <w:spacing w:line="360" w:lineRule="exact"/>
        <w:ind w:firstLine="0"/>
        <w:rPr>
          <w:sz w:val="21"/>
          <w:szCs w:val="21"/>
        </w:rPr>
      </w:pPr>
      <w:r>
        <w:rPr>
          <w:rFonts w:hint="eastAsia"/>
          <w:sz w:val="21"/>
          <w:szCs w:val="21"/>
        </w:rPr>
        <w:t>常州市公安局、常州市城投建设工程招标有限公司：</w:t>
      </w:r>
    </w:p>
    <w:p w14:paraId="2B5B590D">
      <w:pPr>
        <w:pStyle w:val="5"/>
        <w:spacing w:line="360" w:lineRule="exact"/>
        <w:ind w:firstLine="480"/>
        <w:rPr>
          <w:sz w:val="21"/>
          <w:szCs w:val="21"/>
        </w:rPr>
      </w:pPr>
      <w:r>
        <w:rPr>
          <w:rFonts w:hint="eastAsia"/>
          <w:sz w:val="21"/>
          <w:szCs w:val="21"/>
        </w:rPr>
        <w:t>按照竞争性磋商文件要求的“申请人的资格要求”，我单位郑重声明如下：</w:t>
      </w:r>
    </w:p>
    <w:p w14:paraId="1DE5CA1F">
      <w:pPr>
        <w:pStyle w:val="5"/>
        <w:spacing w:line="360" w:lineRule="exact"/>
        <w:ind w:firstLine="480"/>
        <w:rPr>
          <w:sz w:val="21"/>
          <w:szCs w:val="21"/>
        </w:rPr>
      </w:pPr>
      <w:r>
        <w:rPr>
          <w:rFonts w:hint="eastAsia"/>
          <w:sz w:val="21"/>
          <w:szCs w:val="21"/>
        </w:rPr>
        <w:t>一、我单位是按照中华人民共和国法律规定登记注册的，注册地点为</w:t>
      </w:r>
      <w:r>
        <w:rPr>
          <w:sz w:val="21"/>
          <w:szCs w:val="21"/>
          <w:u w:val="single"/>
        </w:rPr>
        <w:t xml:space="preserve">         </w:t>
      </w:r>
      <w:r>
        <w:rPr>
          <w:rFonts w:hint="eastAsia"/>
          <w:sz w:val="21"/>
          <w:szCs w:val="21"/>
        </w:rPr>
        <w:t>，全称为</w:t>
      </w:r>
      <w:r>
        <w:rPr>
          <w:sz w:val="21"/>
          <w:szCs w:val="21"/>
          <w:u w:val="single"/>
        </w:rPr>
        <w:t xml:space="preserve">        </w:t>
      </w:r>
      <w:r>
        <w:rPr>
          <w:rFonts w:hint="eastAsia"/>
          <w:sz w:val="21"/>
          <w:szCs w:val="21"/>
        </w:rPr>
        <w:t>，统一社会信用代码为</w:t>
      </w:r>
      <w:r>
        <w:rPr>
          <w:sz w:val="21"/>
          <w:szCs w:val="21"/>
          <w:u w:val="single"/>
        </w:rPr>
        <w:t xml:space="preserve">           </w:t>
      </w:r>
      <w:r>
        <w:rPr>
          <w:sz w:val="21"/>
          <w:szCs w:val="21"/>
        </w:rPr>
        <w:t xml:space="preserve"> </w:t>
      </w:r>
      <w:r>
        <w:rPr>
          <w:rFonts w:hint="eastAsia"/>
          <w:sz w:val="21"/>
          <w:szCs w:val="21"/>
        </w:rPr>
        <w:t>，法定代表人（单位负责人）为</w:t>
      </w:r>
      <w:r>
        <w:rPr>
          <w:sz w:val="21"/>
          <w:szCs w:val="21"/>
          <w:u w:val="single"/>
        </w:rPr>
        <w:t xml:space="preserve">         </w:t>
      </w:r>
      <w:r>
        <w:rPr>
          <w:rFonts w:hint="eastAsia"/>
          <w:sz w:val="21"/>
          <w:szCs w:val="21"/>
        </w:rPr>
        <w:t>，具有独立承担民事责任的能力</w:t>
      </w:r>
      <w:r>
        <w:rPr>
          <w:rFonts w:hint="eastAsia"/>
          <w:b/>
          <w:sz w:val="21"/>
          <w:szCs w:val="21"/>
        </w:rPr>
        <w:t>（如属于分公司经总公司授权参与项目，由总公司承担民事责任的，需提供总公司项目授权书）</w:t>
      </w:r>
      <w:r>
        <w:rPr>
          <w:rFonts w:hint="eastAsia"/>
          <w:sz w:val="21"/>
          <w:szCs w:val="21"/>
        </w:rPr>
        <w:t>。</w:t>
      </w:r>
    </w:p>
    <w:p w14:paraId="33759A85">
      <w:pPr>
        <w:pStyle w:val="5"/>
        <w:spacing w:line="360" w:lineRule="exact"/>
        <w:ind w:firstLine="480"/>
        <w:rPr>
          <w:sz w:val="21"/>
          <w:szCs w:val="21"/>
        </w:rPr>
      </w:pPr>
      <w:r>
        <w:rPr>
          <w:rFonts w:hint="eastAsia"/>
          <w:sz w:val="21"/>
          <w:szCs w:val="21"/>
        </w:rPr>
        <w:t>二、我单位未被“国家企业信用信息系统”列入经营异常名录或者严重违法企业名单。</w:t>
      </w:r>
    </w:p>
    <w:p w14:paraId="4ED243B9">
      <w:pPr>
        <w:pStyle w:val="5"/>
        <w:spacing w:line="360" w:lineRule="exact"/>
        <w:ind w:firstLine="480"/>
        <w:rPr>
          <w:sz w:val="21"/>
          <w:szCs w:val="21"/>
        </w:rPr>
      </w:pPr>
      <w:r>
        <w:rPr>
          <w:rFonts w:hint="eastAsia"/>
          <w:sz w:val="21"/>
          <w:szCs w:val="21"/>
        </w:rPr>
        <w:t>三、我单位具有良好的商业信誉（指供应商经营状况良好，无本资格声明第十条情形）和健全的财务会计制度。</w:t>
      </w:r>
    </w:p>
    <w:p w14:paraId="6B62A73D">
      <w:pPr>
        <w:pStyle w:val="5"/>
        <w:spacing w:line="360" w:lineRule="exact"/>
        <w:ind w:firstLine="480"/>
        <w:rPr>
          <w:sz w:val="21"/>
          <w:szCs w:val="21"/>
        </w:rPr>
      </w:pPr>
      <w:r>
        <w:rPr>
          <w:rFonts w:hint="eastAsia"/>
          <w:sz w:val="21"/>
          <w:szCs w:val="21"/>
        </w:rPr>
        <w:t>四、我单位依法进行纳税和社会保险申报并实际履行了义务。</w:t>
      </w:r>
    </w:p>
    <w:p w14:paraId="79B128A0">
      <w:pPr>
        <w:pStyle w:val="5"/>
        <w:spacing w:line="360" w:lineRule="exact"/>
        <w:ind w:firstLine="480"/>
        <w:rPr>
          <w:sz w:val="21"/>
          <w:szCs w:val="21"/>
        </w:rPr>
      </w:pPr>
      <w:r>
        <w:rPr>
          <w:rFonts w:hint="eastAsia"/>
          <w:sz w:val="21"/>
          <w:szCs w:val="21"/>
        </w:rPr>
        <w:t>五、我单位具有履行本项目采购合同所必需的设备和专业技术能力，并具有履行合同的良好记录。为履行本项采购合同我单位具备如下主要设备和主要专业技术能力</w:t>
      </w:r>
      <w:r>
        <w:rPr>
          <w:sz w:val="21"/>
          <w:szCs w:val="21"/>
        </w:rPr>
        <w:t>:</w:t>
      </w:r>
    </w:p>
    <w:p w14:paraId="569D22C9">
      <w:pPr>
        <w:pStyle w:val="5"/>
        <w:spacing w:line="360" w:lineRule="exact"/>
        <w:ind w:firstLine="480"/>
        <w:rPr>
          <w:sz w:val="21"/>
          <w:szCs w:val="21"/>
        </w:rPr>
      </w:pPr>
      <w:r>
        <w:rPr>
          <w:rFonts w:hint="eastAsia"/>
          <w:sz w:val="21"/>
          <w:szCs w:val="21"/>
        </w:rPr>
        <w:t>主要设备有：</w:t>
      </w:r>
      <w:r>
        <w:rPr>
          <w:sz w:val="21"/>
          <w:szCs w:val="21"/>
          <w:u w:val="single"/>
        </w:rPr>
        <w:t xml:space="preserve">            </w:t>
      </w:r>
    </w:p>
    <w:p w14:paraId="44DF591F">
      <w:pPr>
        <w:pStyle w:val="5"/>
        <w:spacing w:line="360" w:lineRule="exact"/>
        <w:ind w:firstLine="480"/>
        <w:rPr>
          <w:sz w:val="21"/>
          <w:szCs w:val="21"/>
        </w:rPr>
      </w:pPr>
      <w:r>
        <w:rPr>
          <w:rFonts w:hint="eastAsia"/>
          <w:sz w:val="21"/>
          <w:szCs w:val="21"/>
        </w:rPr>
        <w:t>主要专业技术能力有</w:t>
      </w:r>
      <w:r>
        <w:rPr>
          <w:sz w:val="21"/>
          <w:szCs w:val="21"/>
          <w:u w:val="single"/>
        </w:rPr>
        <w:t xml:space="preserve">                 </w:t>
      </w:r>
    </w:p>
    <w:p w14:paraId="1B2555F0">
      <w:pPr>
        <w:pStyle w:val="5"/>
        <w:spacing w:line="360" w:lineRule="exact"/>
        <w:ind w:firstLine="480"/>
        <w:rPr>
          <w:sz w:val="21"/>
          <w:szCs w:val="21"/>
        </w:rPr>
      </w:pPr>
      <w:r>
        <w:rPr>
          <w:rFonts w:hint="eastAsia"/>
          <w:sz w:val="21"/>
          <w:szCs w:val="21"/>
        </w:rPr>
        <w:t>六、我单位在参加采购项目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采购活动前</w:t>
      </w:r>
      <w:r>
        <w:rPr>
          <w:sz w:val="21"/>
          <w:szCs w:val="21"/>
        </w:rPr>
        <w:t>3</w:t>
      </w:r>
      <w:r>
        <w:rPr>
          <w:rFonts w:hint="eastAsia"/>
          <w:sz w:val="21"/>
          <w:szCs w:val="21"/>
        </w:rPr>
        <w:t>年内因违法经营被禁止在一定期限内参加采购活动，期限届满的，可以参加采购活动。）</w:t>
      </w:r>
    </w:p>
    <w:p w14:paraId="7414FBC1">
      <w:pPr>
        <w:pStyle w:val="5"/>
        <w:spacing w:line="360" w:lineRule="exact"/>
        <w:ind w:firstLine="480"/>
        <w:rPr>
          <w:sz w:val="21"/>
          <w:szCs w:val="21"/>
        </w:rPr>
      </w:pPr>
      <w:r>
        <w:rPr>
          <w:rFonts w:hint="eastAsia"/>
          <w:sz w:val="21"/>
          <w:szCs w:val="21"/>
        </w:rPr>
        <w:t>七、我单位具备法律、行政法规规定的其他条件。</w:t>
      </w:r>
    </w:p>
    <w:p w14:paraId="71DF51C4">
      <w:pPr>
        <w:pStyle w:val="5"/>
        <w:spacing w:line="360" w:lineRule="exact"/>
        <w:ind w:firstLine="480"/>
        <w:rPr>
          <w:sz w:val="21"/>
          <w:szCs w:val="21"/>
        </w:rPr>
      </w:pPr>
      <w:r>
        <w:rPr>
          <w:rFonts w:hint="eastAsia"/>
          <w:sz w:val="21"/>
          <w:szCs w:val="21"/>
        </w:rPr>
        <w:t>八、与我单位存在“单位负责人为同一人或者存在直接控股、管理关系”的其他单位信息如下（如无此情形的，填写“无”）：</w:t>
      </w:r>
    </w:p>
    <w:p w14:paraId="2CB7051D">
      <w:pPr>
        <w:pStyle w:val="5"/>
        <w:spacing w:line="360" w:lineRule="exact"/>
        <w:ind w:firstLine="480"/>
        <w:rPr>
          <w:sz w:val="21"/>
          <w:szCs w:val="21"/>
        </w:rPr>
      </w:pPr>
      <w:r>
        <w:rPr>
          <w:sz w:val="21"/>
          <w:szCs w:val="21"/>
        </w:rPr>
        <w:t>1</w:t>
      </w:r>
      <w:r>
        <w:rPr>
          <w:rFonts w:hint="eastAsia"/>
          <w:sz w:val="21"/>
          <w:szCs w:val="21"/>
        </w:rPr>
        <w:t>.与我单位的法定代表人（单位负责人）为同一人的其他单位如下：</w:t>
      </w:r>
      <w:r>
        <w:rPr>
          <w:sz w:val="21"/>
          <w:szCs w:val="21"/>
          <w:u w:val="single"/>
        </w:rPr>
        <w:t xml:space="preserve">     </w:t>
      </w:r>
      <w:r>
        <w:rPr>
          <w:sz w:val="21"/>
          <w:szCs w:val="21"/>
        </w:rPr>
        <w:t xml:space="preserve">          </w:t>
      </w:r>
    </w:p>
    <w:p w14:paraId="459AAB13">
      <w:pPr>
        <w:pStyle w:val="5"/>
        <w:spacing w:line="360" w:lineRule="exact"/>
        <w:ind w:firstLine="480"/>
        <w:rPr>
          <w:sz w:val="21"/>
          <w:szCs w:val="21"/>
        </w:rPr>
      </w:pPr>
      <w:r>
        <w:rPr>
          <w:sz w:val="21"/>
          <w:szCs w:val="21"/>
        </w:rPr>
        <w:t>2</w:t>
      </w:r>
      <w:r>
        <w:rPr>
          <w:rFonts w:hint="eastAsia"/>
          <w:sz w:val="21"/>
          <w:szCs w:val="21"/>
        </w:rPr>
        <w:t>.我单位直接控股的其他单位如下：</w:t>
      </w:r>
      <w:r>
        <w:rPr>
          <w:sz w:val="21"/>
          <w:szCs w:val="21"/>
          <w:u w:val="single"/>
        </w:rPr>
        <w:t xml:space="preserve">                    </w:t>
      </w:r>
      <w:r>
        <w:rPr>
          <w:sz w:val="21"/>
          <w:szCs w:val="21"/>
        </w:rPr>
        <w:t xml:space="preserve"> </w:t>
      </w:r>
    </w:p>
    <w:p w14:paraId="78454C2B">
      <w:pPr>
        <w:pStyle w:val="5"/>
        <w:spacing w:line="360" w:lineRule="exact"/>
        <w:ind w:firstLine="480"/>
        <w:rPr>
          <w:sz w:val="21"/>
          <w:szCs w:val="21"/>
        </w:rPr>
      </w:pPr>
      <w:r>
        <w:rPr>
          <w:sz w:val="21"/>
          <w:szCs w:val="21"/>
        </w:rPr>
        <w:t>3</w:t>
      </w:r>
      <w:r>
        <w:rPr>
          <w:rFonts w:hint="eastAsia"/>
          <w:sz w:val="21"/>
          <w:szCs w:val="21"/>
        </w:rPr>
        <w:t>.与我单位存在管理关系的其他单位如下：</w:t>
      </w:r>
      <w:r>
        <w:rPr>
          <w:sz w:val="21"/>
          <w:szCs w:val="21"/>
          <w:u w:val="single"/>
        </w:rPr>
        <w:t xml:space="preserve">              </w:t>
      </w:r>
      <w:r>
        <w:rPr>
          <w:sz w:val="21"/>
          <w:szCs w:val="21"/>
        </w:rPr>
        <w:t xml:space="preserve"> </w:t>
      </w:r>
    </w:p>
    <w:p w14:paraId="4CA1FE8F">
      <w:pPr>
        <w:pStyle w:val="5"/>
        <w:spacing w:line="360" w:lineRule="exact"/>
        <w:ind w:firstLine="480"/>
        <w:rPr>
          <w:sz w:val="21"/>
          <w:szCs w:val="21"/>
        </w:rPr>
      </w:pPr>
      <w:r>
        <w:rPr>
          <w:rFonts w:hint="eastAsia"/>
          <w:sz w:val="21"/>
          <w:szCs w:val="21"/>
        </w:rPr>
        <w:t>九、我单位不属于为本项目提供整体设计、规范编制或者项目管理、监理、检测等服务的供应商。</w:t>
      </w:r>
    </w:p>
    <w:p w14:paraId="766CDF0C">
      <w:pPr>
        <w:pStyle w:val="5"/>
        <w:spacing w:line="360" w:lineRule="exact"/>
        <w:ind w:firstLine="480"/>
        <w:rPr>
          <w:sz w:val="21"/>
          <w:szCs w:val="21"/>
        </w:rPr>
      </w:pPr>
      <w:r>
        <w:rPr>
          <w:rFonts w:hint="eastAsia"/>
          <w:sz w:val="21"/>
          <w:szCs w:val="21"/>
        </w:rPr>
        <w:t>十、我单位无以下不良信用记录情形：</w:t>
      </w:r>
    </w:p>
    <w:p w14:paraId="27D8E25A">
      <w:pPr>
        <w:pStyle w:val="5"/>
        <w:spacing w:line="360" w:lineRule="exact"/>
        <w:ind w:firstLine="480"/>
        <w:rPr>
          <w:sz w:val="21"/>
          <w:szCs w:val="21"/>
        </w:rPr>
      </w:pPr>
      <w:r>
        <w:rPr>
          <w:rFonts w:hint="eastAsia"/>
          <w:sz w:val="21"/>
          <w:szCs w:val="21"/>
        </w:rPr>
        <w:t>在“信用中国”网站被列入失信被执行人和重大税收违法案件当事人名单。</w:t>
      </w:r>
    </w:p>
    <w:p w14:paraId="574C3921">
      <w:pPr>
        <w:pStyle w:val="5"/>
        <w:spacing w:line="360" w:lineRule="exact"/>
        <w:ind w:firstLine="480"/>
        <w:rPr>
          <w:sz w:val="21"/>
          <w:szCs w:val="21"/>
        </w:rPr>
      </w:pPr>
    </w:p>
    <w:p w14:paraId="655B7416">
      <w:pPr>
        <w:pStyle w:val="5"/>
        <w:spacing w:line="360" w:lineRule="exact"/>
        <w:ind w:firstLine="480"/>
        <w:rPr>
          <w:sz w:val="21"/>
          <w:szCs w:val="21"/>
        </w:rPr>
      </w:pPr>
      <w:r>
        <w:rPr>
          <w:rFonts w:hint="eastAsia"/>
          <w:sz w:val="21"/>
          <w:szCs w:val="21"/>
        </w:rPr>
        <w:t>我单位保证上述声明的事项都是真实的，如有虚假，我单位愿意承担相应的法律责任，并承担因此所造成的一切损失。</w:t>
      </w:r>
    </w:p>
    <w:p w14:paraId="3EEDCABB">
      <w:pPr>
        <w:pStyle w:val="48"/>
        <w:spacing w:line="360" w:lineRule="exact"/>
        <w:ind w:firstLine="420" w:firstLineChars="200"/>
        <w:rPr>
          <w:rFonts w:cs="宋体"/>
          <w:sz w:val="21"/>
          <w:szCs w:val="21"/>
        </w:rPr>
      </w:pPr>
    </w:p>
    <w:p w14:paraId="58DF2A6E">
      <w:pPr>
        <w:pStyle w:val="48"/>
        <w:spacing w:line="360" w:lineRule="exact"/>
        <w:ind w:firstLine="420" w:firstLineChars="200"/>
        <w:rPr>
          <w:rFonts w:cs="宋体"/>
          <w:sz w:val="21"/>
          <w:szCs w:val="21"/>
        </w:rPr>
      </w:pPr>
      <w:r>
        <w:rPr>
          <w:rFonts w:hint="eastAsia" w:cs="宋体"/>
          <w:sz w:val="21"/>
          <w:szCs w:val="21"/>
        </w:rPr>
        <w:t xml:space="preserve">供应商法定代表人或代理人（签字或盖章）：       </w:t>
      </w:r>
    </w:p>
    <w:p w14:paraId="3EB9844F">
      <w:pPr>
        <w:pStyle w:val="48"/>
        <w:spacing w:line="360" w:lineRule="exact"/>
        <w:ind w:firstLine="420" w:firstLineChars="200"/>
        <w:rPr>
          <w:rFonts w:cs="宋体"/>
          <w:sz w:val="21"/>
          <w:szCs w:val="21"/>
        </w:rPr>
      </w:pPr>
      <w:r>
        <w:rPr>
          <w:rFonts w:hint="eastAsia" w:cs="宋体"/>
          <w:sz w:val="21"/>
          <w:szCs w:val="21"/>
        </w:rPr>
        <w:t xml:space="preserve">供应商名称（公章）：             </w:t>
      </w:r>
    </w:p>
    <w:p w14:paraId="13EEDC15">
      <w:pPr>
        <w:pStyle w:val="48"/>
        <w:spacing w:line="360" w:lineRule="exact"/>
        <w:ind w:firstLine="420" w:firstLineChars="200"/>
        <w:rPr>
          <w:rFonts w:cs="宋体"/>
          <w:sz w:val="21"/>
          <w:szCs w:val="21"/>
        </w:rPr>
      </w:pPr>
      <w:r>
        <w:rPr>
          <w:rFonts w:hint="eastAsia" w:cs="宋体"/>
          <w:sz w:val="21"/>
          <w:szCs w:val="21"/>
        </w:rPr>
        <w:t>日    期：     年    月    日</w:t>
      </w:r>
    </w:p>
    <w:p w14:paraId="3225DF5C">
      <w:pPr>
        <w:pStyle w:val="48"/>
        <w:spacing w:line="360" w:lineRule="exact"/>
        <w:ind w:firstLine="562"/>
        <w:rPr>
          <w:rFonts w:cs="宋体"/>
          <w:b/>
          <w:sz w:val="28"/>
          <w:szCs w:val="28"/>
        </w:rPr>
      </w:pPr>
      <w:r>
        <w:rPr>
          <w:rFonts w:cs="宋体"/>
          <w:b/>
          <w:sz w:val="28"/>
          <w:szCs w:val="28"/>
        </w:rPr>
        <w:br w:type="page"/>
      </w:r>
    </w:p>
    <w:p w14:paraId="4F308B5B">
      <w:pPr>
        <w:pStyle w:val="2"/>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2.磋商响应函</w:t>
      </w:r>
    </w:p>
    <w:p w14:paraId="6C44F0D2">
      <w:pPr>
        <w:pStyle w:val="18"/>
        <w:rPr>
          <w:rFonts w:ascii="宋体" w:hAnsi="宋体" w:cs="宋体"/>
        </w:rPr>
      </w:pPr>
    </w:p>
    <w:p w14:paraId="2188F736">
      <w:pPr>
        <w:pStyle w:val="48"/>
        <w:spacing w:line="360" w:lineRule="exact"/>
        <w:jc w:val="center"/>
        <w:rPr>
          <w:rFonts w:cs="宋体"/>
          <w:b/>
          <w:sz w:val="28"/>
          <w:szCs w:val="28"/>
        </w:rPr>
      </w:pPr>
      <w:r>
        <w:rPr>
          <w:rFonts w:hint="eastAsia" w:cs="宋体"/>
          <w:b/>
          <w:sz w:val="28"/>
          <w:szCs w:val="28"/>
        </w:rPr>
        <w:t>磋商响应函</w:t>
      </w:r>
    </w:p>
    <w:p w14:paraId="23249CAF">
      <w:pPr>
        <w:pStyle w:val="48"/>
        <w:spacing w:line="360" w:lineRule="exact"/>
        <w:rPr>
          <w:rFonts w:cs="宋体"/>
          <w:sz w:val="21"/>
          <w:szCs w:val="21"/>
        </w:rPr>
      </w:pPr>
      <w:r>
        <w:rPr>
          <w:rFonts w:hint="eastAsia" w:cs="宋体"/>
          <w:sz w:val="21"/>
          <w:szCs w:val="21"/>
        </w:rPr>
        <w:t>致：</w:t>
      </w:r>
      <w:r>
        <w:rPr>
          <w:rFonts w:hint="eastAsia"/>
          <w:sz w:val="21"/>
          <w:szCs w:val="21"/>
        </w:rPr>
        <w:t>常州市公安局</w:t>
      </w:r>
      <w:r>
        <w:rPr>
          <w:rFonts w:hint="eastAsia" w:cs="宋体"/>
          <w:color w:val="FF0000"/>
          <w:sz w:val="21"/>
          <w:szCs w:val="21"/>
        </w:rPr>
        <w:t>、</w:t>
      </w:r>
      <w:r>
        <w:rPr>
          <w:rFonts w:hint="eastAsia" w:cs="宋体"/>
          <w:sz w:val="21"/>
          <w:szCs w:val="21"/>
        </w:rPr>
        <w:t>常州市城投建设工程招标有限公司：</w:t>
      </w:r>
    </w:p>
    <w:p w14:paraId="730D2A80">
      <w:pPr>
        <w:pStyle w:val="48"/>
        <w:spacing w:line="360" w:lineRule="exact"/>
        <w:ind w:firstLine="420"/>
        <w:jc w:val="left"/>
        <w:rPr>
          <w:rFonts w:cs="宋体"/>
          <w:sz w:val="21"/>
          <w:szCs w:val="21"/>
        </w:rPr>
      </w:pPr>
      <w:r>
        <w:rPr>
          <w:rFonts w:hint="eastAsia" w:cs="宋体"/>
          <w:sz w:val="21"/>
          <w:szCs w:val="21"/>
        </w:rPr>
        <w:t>我单位收到贵单位“       号”磋商文件后，经仔细阅读和研究，我单位决定参加本项目的竞争性磋商活动。为此，我单位郑重声明以下诸点，并负法律责任。</w:t>
      </w:r>
    </w:p>
    <w:p w14:paraId="5564DE25">
      <w:pPr>
        <w:pStyle w:val="48"/>
        <w:spacing w:line="360" w:lineRule="exact"/>
        <w:ind w:firstLine="420"/>
        <w:jc w:val="left"/>
        <w:rPr>
          <w:rFonts w:cs="宋体"/>
          <w:sz w:val="21"/>
          <w:szCs w:val="21"/>
        </w:rPr>
      </w:pPr>
      <w:r>
        <w:rPr>
          <w:rFonts w:hint="eastAsia" w:cs="宋体"/>
          <w:color w:val="000000"/>
          <w:sz w:val="21"/>
          <w:szCs w:val="21"/>
        </w:rPr>
        <w:t>1.</w:t>
      </w:r>
      <w:r>
        <w:rPr>
          <w:rFonts w:hint="eastAsia" w:cs="宋体"/>
          <w:sz w:val="21"/>
          <w:szCs w:val="21"/>
        </w:rPr>
        <w:t>我单位愿意遵守贵单位有关采购的各项规定，提供竞争性磋商文件中要求的所有资料，并保证完全真实准确，若有虚假和违背，我单位愿意承担由此而产生的一切后果。</w:t>
      </w:r>
    </w:p>
    <w:p w14:paraId="6E3D69C0">
      <w:pPr>
        <w:pStyle w:val="48"/>
        <w:spacing w:line="360" w:lineRule="exact"/>
        <w:ind w:firstLine="420"/>
        <w:jc w:val="left"/>
        <w:rPr>
          <w:rFonts w:cs="宋体"/>
          <w:color w:val="auto"/>
          <w:sz w:val="21"/>
          <w:szCs w:val="21"/>
        </w:rPr>
      </w:pPr>
      <w:r>
        <w:rPr>
          <w:rFonts w:hint="eastAsia" w:cs="宋体"/>
          <w:sz w:val="21"/>
          <w:szCs w:val="21"/>
        </w:rPr>
        <w:t>2.我单位承诺财务状况良好，依法缴纳税收和社会保障资金，具备履行合同所必需的设</w:t>
      </w:r>
      <w:r>
        <w:rPr>
          <w:rFonts w:hint="eastAsia" w:cs="宋体"/>
          <w:color w:val="auto"/>
          <w:sz w:val="21"/>
          <w:szCs w:val="21"/>
        </w:rPr>
        <w:t>备和专业技术能力，参加采购活动前3年内在经营活动中没有重大违法记录。</w:t>
      </w:r>
    </w:p>
    <w:p w14:paraId="6077185A">
      <w:pPr>
        <w:adjustRightInd w:val="0"/>
        <w:snapToGrid w:val="0"/>
        <w:spacing w:line="360" w:lineRule="exact"/>
        <w:ind w:firstLine="422" w:firstLineChars="201"/>
        <w:rPr>
          <w:rFonts w:asciiTheme="minorEastAsia" w:hAnsiTheme="minorEastAsia" w:eastAsiaTheme="minorEastAsia"/>
          <w:color w:val="auto"/>
          <w:szCs w:val="21"/>
        </w:rPr>
      </w:pPr>
      <w:r>
        <w:rPr>
          <w:rFonts w:hint="eastAsia" w:asciiTheme="minorEastAsia" w:hAnsiTheme="minorEastAsia" w:eastAsiaTheme="minorEastAsia"/>
          <w:color w:val="auto"/>
          <w:szCs w:val="21"/>
        </w:rPr>
        <w:t>3.我单位承诺保证采购人在使用该货物或其任何一部分时不受第三方提出侵犯其专利权</w:t>
      </w:r>
      <w:r>
        <w:rPr>
          <w:rFonts w:hint="eastAsia"/>
          <w:color w:val="auto"/>
          <w:shd w:val="clear" w:color="auto" w:fill="FFFFFF"/>
        </w:rPr>
        <w:t>、</w:t>
      </w:r>
      <w:r>
        <w:rPr>
          <w:color w:val="auto"/>
          <w:shd w:val="clear" w:color="auto" w:fill="FFFFFF"/>
        </w:rPr>
        <w:t>著作</w:t>
      </w:r>
      <w:r>
        <w:rPr>
          <w:rFonts w:hint="eastAsia"/>
          <w:color w:val="auto"/>
          <w:shd w:val="clear" w:color="auto" w:fill="FFFFFF"/>
        </w:rPr>
        <w:t>权、商标权等知识产权的起诉。</w:t>
      </w:r>
      <w:r>
        <w:rPr>
          <w:rFonts w:hint="eastAsia" w:asciiTheme="minorEastAsia" w:hAnsiTheme="minorEastAsia" w:eastAsiaTheme="minorEastAsia"/>
          <w:color w:val="auto"/>
          <w:szCs w:val="21"/>
        </w:rPr>
        <w:t>一旦出现侵权、索赔或诉讼，我单位承担全部责任。</w:t>
      </w:r>
    </w:p>
    <w:p w14:paraId="7F45AE3F">
      <w:pPr>
        <w:pStyle w:val="48"/>
        <w:spacing w:line="360" w:lineRule="exact"/>
        <w:ind w:firstLine="420"/>
        <w:jc w:val="left"/>
        <w:rPr>
          <w:rFonts w:cs="宋体"/>
          <w:color w:val="auto"/>
          <w:sz w:val="21"/>
          <w:szCs w:val="21"/>
        </w:rPr>
      </w:pPr>
      <w:r>
        <w:rPr>
          <w:rFonts w:hint="eastAsia" w:cs="宋体"/>
          <w:color w:val="auto"/>
          <w:sz w:val="21"/>
          <w:szCs w:val="21"/>
          <w:lang w:val="en-US" w:eastAsia="zh-CN"/>
        </w:rPr>
        <w:t>4</w:t>
      </w:r>
      <w:r>
        <w:rPr>
          <w:rFonts w:hint="eastAsia" w:cs="宋体"/>
          <w:color w:val="auto"/>
          <w:sz w:val="21"/>
          <w:szCs w:val="21"/>
        </w:rPr>
        <w:t>.我单位承诺该磋商响应文件在磋商开始后的全过程中保持有效，不作任何更改和变动。并同意按竞争性磋商文件中的规定，本磋商响应文件的有效期限为投标开始后</w:t>
      </w:r>
      <w:r>
        <w:rPr>
          <w:rFonts w:hint="eastAsia" w:cs="宋体"/>
          <w:color w:val="auto"/>
          <w:sz w:val="21"/>
          <w:szCs w:val="21"/>
          <w:u w:val="single"/>
        </w:rPr>
        <w:t>60</w:t>
      </w:r>
      <w:r>
        <w:rPr>
          <w:rFonts w:hint="eastAsia" w:cs="宋体"/>
          <w:color w:val="auto"/>
          <w:sz w:val="21"/>
          <w:szCs w:val="21"/>
        </w:rPr>
        <w:t>天。</w:t>
      </w:r>
    </w:p>
    <w:p w14:paraId="332C4A22">
      <w:pPr>
        <w:pStyle w:val="48"/>
        <w:spacing w:line="360" w:lineRule="exact"/>
        <w:ind w:firstLine="420"/>
        <w:jc w:val="left"/>
        <w:rPr>
          <w:rFonts w:cs="宋体"/>
          <w:color w:val="auto"/>
          <w:sz w:val="21"/>
          <w:szCs w:val="21"/>
        </w:rPr>
      </w:pPr>
      <w:r>
        <w:rPr>
          <w:rFonts w:hint="eastAsia" w:cs="宋体"/>
          <w:color w:val="auto"/>
          <w:sz w:val="21"/>
          <w:szCs w:val="21"/>
          <w:lang w:val="en-US" w:eastAsia="zh-CN"/>
        </w:rPr>
        <w:t>5</w:t>
      </w:r>
      <w:r>
        <w:rPr>
          <w:rFonts w:hint="eastAsia" w:cs="宋体"/>
          <w:color w:val="auto"/>
          <w:sz w:val="21"/>
          <w:szCs w:val="21"/>
        </w:rPr>
        <w:t>.我单位愿意按竞争性磋商文件规定的各项要求，向采购人提供所需货物与服务。磋商报价包括竞争性磋商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1C63C38A">
      <w:pPr>
        <w:pStyle w:val="48"/>
        <w:spacing w:line="360" w:lineRule="exact"/>
        <w:ind w:firstLine="420"/>
        <w:jc w:val="left"/>
        <w:rPr>
          <w:rFonts w:cs="宋体"/>
          <w:color w:val="auto"/>
          <w:sz w:val="21"/>
          <w:szCs w:val="21"/>
        </w:rPr>
      </w:pPr>
      <w:r>
        <w:rPr>
          <w:rFonts w:hint="eastAsia" w:cs="宋体"/>
          <w:color w:val="auto"/>
          <w:sz w:val="21"/>
          <w:szCs w:val="21"/>
          <w:lang w:val="en-US" w:eastAsia="zh-CN"/>
        </w:rPr>
        <w:t>6</w:t>
      </w:r>
      <w:r>
        <w:rPr>
          <w:rFonts w:hint="eastAsia" w:cs="宋体"/>
          <w:color w:val="auto"/>
          <w:sz w:val="21"/>
          <w:szCs w:val="21"/>
        </w:rPr>
        <w:t>.我单位认为贵单位有权决定成交供应商，还认为贵单位有权接受或拒绝所有的供应商。</w:t>
      </w:r>
    </w:p>
    <w:p w14:paraId="2625BF8A">
      <w:pPr>
        <w:pStyle w:val="48"/>
        <w:spacing w:line="360" w:lineRule="exact"/>
        <w:ind w:firstLine="420"/>
        <w:jc w:val="left"/>
        <w:rPr>
          <w:rFonts w:cs="宋体"/>
          <w:color w:val="auto"/>
          <w:sz w:val="21"/>
          <w:szCs w:val="21"/>
        </w:rPr>
      </w:pPr>
      <w:r>
        <w:rPr>
          <w:rFonts w:hint="eastAsia" w:cs="宋体"/>
          <w:color w:val="auto"/>
          <w:sz w:val="21"/>
          <w:szCs w:val="21"/>
          <w:lang w:val="en-US" w:eastAsia="zh-CN"/>
        </w:rPr>
        <w:t>7</w:t>
      </w:r>
      <w:r>
        <w:rPr>
          <w:rFonts w:hint="eastAsia" w:cs="宋体"/>
          <w:color w:val="auto"/>
          <w:sz w:val="21"/>
          <w:szCs w:val="21"/>
        </w:rPr>
        <w:t>.我单位愿意遵守竞争性磋商文件中所列的收费标准，按竞争性磋商文件的规定支付成交服务费。</w:t>
      </w:r>
    </w:p>
    <w:p w14:paraId="6ACAEF25">
      <w:pPr>
        <w:pStyle w:val="48"/>
        <w:spacing w:line="360" w:lineRule="exact"/>
        <w:ind w:firstLine="420"/>
        <w:jc w:val="left"/>
        <w:rPr>
          <w:rFonts w:cs="宋体"/>
          <w:sz w:val="21"/>
          <w:szCs w:val="21"/>
        </w:rPr>
      </w:pPr>
      <w:r>
        <w:rPr>
          <w:rFonts w:hint="eastAsia" w:cs="宋体"/>
          <w:sz w:val="21"/>
          <w:szCs w:val="21"/>
          <w:lang w:val="en-US" w:eastAsia="zh-CN"/>
        </w:rPr>
        <w:t>8</w:t>
      </w:r>
      <w:r>
        <w:rPr>
          <w:rFonts w:hint="eastAsia" w:cs="宋体"/>
          <w:sz w:val="21"/>
          <w:szCs w:val="21"/>
        </w:rPr>
        <w:t>.如果我单位的磋商响应文件被接受，愿按《中华人民共和国民法典》履行自己的全部责任，同时严格履行竞争性磋商文件中规定的每一项要求，按期、按质、按量履行合同的义务。</w:t>
      </w:r>
    </w:p>
    <w:p w14:paraId="2E198357">
      <w:pPr>
        <w:pStyle w:val="48"/>
        <w:spacing w:line="360" w:lineRule="exact"/>
        <w:ind w:firstLine="405"/>
        <w:rPr>
          <w:rFonts w:cs="宋体"/>
          <w:sz w:val="21"/>
          <w:szCs w:val="21"/>
        </w:rPr>
      </w:pPr>
      <w:r>
        <w:rPr>
          <w:rFonts w:hint="eastAsia" w:cs="宋体"/>
          <w:sz w:val="21"/>
          <w:szCs w:val="21"/>
          <w:lang w:val="en-US" w:eastAsia="zh-CN"/>
        </w:rPr>
        <w:t>9</w:t>
      </w:r>
      <w:r>
        <w:rPr>
          <w:rFonts w:hint="eastAsia" w:cs="宋体"/>
          <w:sz w:val="21"/>
          <w:szCs w:val="21"/>
        </w:rPr>
        <w:t>.与本次磋商有关的正式通讯地址为：</w:t>
      </w:r>
    </w:p>
    <w:p w14:paraId="27405327">
      <w:pPr>
        <w:pStyle w:val="48"/>
        <w:spacing w:line="360" w:lineRule="exact"/>
        <w:jc w:val="left"/>
        <w:rPr>
          <w:rFonts w:cs="宋体"/>
          <w:sz w:val="21"/>
          <w:szCs w:val="21"/>
        </w:rPr>
      </w:pPr>
    </w:p>
    <w:p w14:paraId="35B5D981">
      <w:pPr>
        <w:pStyle w:val="48"/>
        <w:spacing w:line="360" w:lineRule="exact"/>
        <w:jc w:val="left"/>
        <w:rPr>
          <w:rFonts w:cs="宋体"/>
          <w:sz w:val="21"/>
          <w:szCs w:val="21"/>
        </w:rPr>
      </w:pPr>
      <w:r>
        <w:rPr>
          <w:rFonts w:hint="eastAsia" w:cs="宋体"/>
          <w:sz w:val="21"/>
          <w:szCs w:val="21"/>
        </w:rPr>
        <w:t xml:space="preserve">地   址：                  </w:t>
      </w:r>
    </w:p>
    <w:p w14:paraId="71F31C0E">
      <w:pPr>
        <w:pStyle w:val="48"/>
        <w:spacing w:line="360" w:lineRule="exact"/>
        <w:rPr>
          <w:rFonts w:cs="宋体"/>
          <w:sz w:val="21"/>
          <w:szCs w:val="21"/>
        </w:rPr>
      </w:pPr>
      <w:r>
        <w:rPr>
          <w:rFonts w:hint="eastAsia" w:cs="宋体"/>
          <w:sz w:val="21"/>
          <w:szCs w:val="21"/>
        </w:rPr>
        <w:t xml:space="preserve">电   话：                  </w:t>
      </w:r>
    </w:p>
    <w:p w14:paraId="1F8AAC7F">
      <w:pPr>
        <w:pStyle w:val="48"/>
        <w:spacing w:line="360" w:lineRule="exact"/>
        <w:rPr>
          <w:rFonts w:cs="宋体"/>
          <w:sz w:val="21"/>
          <w:szCs w:val="21"/>
        </w:rPr>
      </w:pPr>
      <w:r>
        <w:rPr>
          <w:rFonts w:hint="eastAsia" w:cs="宋体"/>
          <w:sz w:val="21"/>
          <w:szCs w:val="21"/>
        </w:rPr>
        <w:t xml:space="preserve">传   真：                  </w:t>
      </w:r>
    </w:p>
    <w:p w14:paraId="77891D35">
      <w:pPr>
        <w:pStyle w:val="48"/>
        <w:spacing w:line="360" w:lineRule="exact"/>
        <w:rPr>
          <w:rFonts w:cs="宋体"/>
          <w:sz w:val="21"/>
          <w:szCs w:val="21"/>
        </w:rPr>
      </w:pPr>
      <w:r>
        <w:rPr>
          <w:rFonts w:hint="eastAsia" w:cs="宋体"/>
          <w:sz w:val="21"/>
          <w:szCs w:val="21"/>
        </w:rPr>
        <w:t xml:space="preserve">供应商法定代表人或代理人（签字或盖章）：       </w:t>
      </w:r>
    </w:p>
    <w:p w14:paraId="561A6EEE">
      <w:pPr>
        <w:pStyle w:val="48"/>
        <w:spacing w:line="360" w:lineRule="exact"/>
        <w:rPr>
          <w:rFonts w:cs="宋体"/>
          <w:sz w:val="21"/>
          <w:szCs w:val="21"/>
        </w:rPr>
      </w:pPr>
      <w:r>
        <w:rPr>
          <w:rFonts w:hint="eastAsia" w:cs="宋体"/>
          <w:sz w:val="21"/>
          <w:szCs w:val="21"/>
        </w:rPr>
        <w:t xml:space="preserve">供应商名称（公章）：             </w:t>
      </w:r>
    </w:p>
    <w:p w14:paraId="58BE21FC">
      <w:pPr>
        <w:pStyle w:val="48"/>
        <w:spacing w:line="360" w:lineRule="exact"/>
        <w:rPr>
          <w:rFonts w:cs="宋体"/>
          <w:sz w:val="21"/>
          <w:szCs w:val="21"/>
        </w:rPr>
      </w:pPr>
      <w:r>
        <w:rPr>
          <w:rFonts w:hint="eastAsia" w:cs="宋体"/>
          <w:sz w:val="21"/>
          <w:szCs w:val="21"/>
        </w:rPr>
        <w:t>日    期：     年    月    日.</w:t>
      </w:r>
    </w:p>
    <w:p w14:paraId="5A0B1A55">
      <w:pPr>
        <w:pStyle w:val="18"/>
        <w:rPr>
          <w:rFonts w:ascii="宋体" w:hAnsi="宋体" w:cs="宋体"/>
        </w:rPr>
      </w:pPr>
    </w:p>
    <w:p w14:paraId="609A9BE0">
      <w:pPr>
        <w:rPr>
          <w:rFonts w:ascii="宋体" w:hAnsi="宋体" w:cs="宋体"/>
        </w:rPr>
      </w:pPr>
    </w:p>
    <w:p w14:paraId="11B65F22">
      <w:pPr>
        <w:rPr>
          <w:rFonts w:ascii="宋体" w:hAnsi="宋体" w:cs="宋体"/>
        </w:rPr>
      </w:pPr>
    </w:p>
    <w:p w14:paraId="2E7E9770">
      <w:pPr>
        <w:rPr>
          <w:rFonts w:ascii="宋体" w:hAnsi="宋体" w:cs="宋体"/>
        </w:rPr>
      </w:pPr>
    </w:p>
    <w:p w14:paraId="30DD3550">
      <w:pPr>
        <w:rPr>
          <w:rFonts w:ascii="宋体" w:hAnsi="宋体" w:cs="宋体"/>
        </w:rPr>
      </w:pPr>
    </w:p>
    <w:p w14:paraId="1F88DB6B">
      <w:pPr>
        <w:rPr>
          <w:rFonts w:ascii="宋体" w:hAnsi="宋体" w:cs="宋体"/>
        </w:rPr>
      </w:pPr>
    </w:p>
    <w:p w14:paraId="34C47E5F">
      <w:pPr>
        <w:pStyle w:val="48"/>
        <w:spacing w:line="360" w:lineRule="exact"/>
        <w:rPr>
          <w:rFonts w:cs="宋体"/>
          <w:b/>
          <w:sz w:val="28"/>
          <w:szCs w:val="28"/>
        </w:rPr>
      </w:pPr>
    </w:p>
    <w:p w14:paraId="29387D6F">
      <w:pPr>
        <w:pStyle w:val="2"/>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3.法定代表人资格证明书</w:t>
      </w:r>
    </w:p>
    <w:p w14:paraId="78E2F543">
      <w:pPr>
        <w:rPr>
          <w:rFonts w:ascii="宋体" w:hAnsi="宋体" w:cs="宋体"/>
        </w:rPr>
      </w:pPr>
    </w:p>
    <w:p w14:paraId="3A4E7CE0">
      <w:pPr>
        <w:spacing w:line="360" w:lineRule="auto"/>
        <w:jc w:val="center"/>
        <w:rPr>
          <w:rFonts w:ascii="宋体" w:hAnsi="宋体" w:cs="宋体"/>
          <w:b/>
          <w:sz w:val="32"/>
          <w:szCs w:val="32"/>
        </w:rPr>
      </w:pPr>
      <w:r>
        <w:rPr>
          <w:rFonts w:hint="eastAsia" w:ascii="宋体" w:hAnsi="宋体" w:cs="宋体"/>
          <w:b/>
          <w:sz w:val="28"/>
          <w:szCs w:val="28"/>
        </w:rPr>
        <w:t>法定代表人资格证明书</w:t>
      </w:r>
    </w:p>
    <w:p w14:paraId="79C7986B">
      <w:pPr>
        <w:spacing w:line="360" w:lineRule="auto"/>
        <w:rPr>
          <w:rFonts w:ascii="宋体" w:hAnsi="宋体" w:cs="宋体"/>
          <w:szCs w:val="21"/>
        </w:rPr>
      </w:pPr>
      <w:r>
        <w:rPr>
          <w:rFonts w:hint="eastAsia" w:ascii="宋体" w:hAnsi="宋体" w:cs="宋体"/>
          <w:szCs w:val="21"/>
        </w:rPr>
        <w:t>单位名称:</w:t>
      </w:r>
    </w:p>
    <w:p w14:paraId="25898DEE">
      <w:pPr>
        <w:spacing w:line="360" w:lineRule="auto"/>
        <w:rPr>
          <w:rFonts w:ascii="宋体" w:hAnsi="宋体" w:cs="宋体"/>
          <w:szCs w:val="21"/>
        </w:rPr>
      </w:pPr>
      <w:r>
        <w:rPr>
          <w:rFonts w:hint="eastAsia" w:ascii="宋体" w:hAnsi="宋体" w:cs="宋体"/>
          <w:szCs w:val="21"/>
        </w:rPr>
        <w:t>地址:</w:t>
      </w:r>
    </w:p>
    <w:p w14:paraId="767DDA29">
      <w:pPr>
        <w:spacing w:line="360" w:lineRule="auto"/>
        <w:rPr>
          <w:rFonts w:ascii="宋体" w:hAnsi="宋体" w:cs="宋体"/>
          <w:szCs w:val="21"/>
        </w:rPr>
      </w:pPr>
      <w:r>
        <w:rPr>
          <w:rFonts w:hint="eastAsia" w:ascii="宋体" w:hAnsi="宋体" w:cs="宋体"/>
          <w:szCs w:val="21"/>
        </w:rPr>
        <w:t>姓名:            性别:        年龄:        职务:</w:t>
      </w:r>
    </w:p>
    <w:p w14:paraId="339E8067">
      <w:pPr>
        <w:spacing w:line="360" w:lineRule="auto"/>
        <w:rPr>
          <w:rFonts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 xml:space="preserve">的法定代表人。为实施 </w:t>
      </w:r>
      <w:r>
        <w:rPr>
          <w:rFonts w:hint="eastAsia" w:ascii="宋体" w:hAnsi="宋体" w:cs="宋体"/>
          <w:szCs w:val="21"/>
          <w:u w:val="single"/>
        </w:rPr>
        <w:t xml:space="preserve">           （      号） </w:t>
      </w:r>
      <w:r>
        <w:rPr>
          <w:rFonts w:hint="eastAsia" w:ascii="宋体" w:hAnsi="宋体" w:cs="宋体"/>
          <w:szCs w:val="21"/>
        </w:rPr>
        <w:t>的工作，签署上述项目的磋商响应文件、进行合同磋商、签署合同和处理与之有关的一切事务。</w:t>
      </w:r>
    </w:p>
    <w:p w14:paraId="73CEBD5E">
      <w:pPr>
        <w:spacing w:line="360" w:lineRule="auto"/>
        <w:rPr>
          <w:rFonts w:ascii="宋体" w:hAnsi="宋体" w:cs="宋体"/>
          <w:szCs w:val="21"/>
        </w:rPr>
      </w:pPr>
      <w:r>
        <w:rPr>
          <w:rFonts w:hint="eastAsia" w:ascii="宋体" w:hAnsi="宋体" w:cs="宋体"/>
          <w:szCs w:val="21"/>
        </w:rPr>
        <w:t>特此证明。</w:t>
      </w:r>
    </w:p>
    <w:p w14:paraId="5C30CFF0">
      <w:pPr>
        <w:spacing w:line="360" w:lineRule="auto"/>
        <w:rPr>
          <w:rFonts w:ascii="宋体" w:hAnsi="宋体" w:cs="宋体"/>
          <w:szCs w:val="21"/>
        </w:rPr>
      </w:pPr>
    </w:p>
    <w:p w14:paraId="091FB428">
      <w:pPr>
        <w:spacing w:line="360" w:lineRule="auto"/>
        <w:rPr>
          <w:rFonts w:ascii="宋体" w:hAnsi="宋体" w:cs="宋体"/>
          <w:szCs w:val="21"/>
        </w:rPr>
      </w:pPr>
    </w:p>
    <w:p w14:paraId="5F42D2C2">
      <w:pPr>
        <w:spacing w:line="360" w:lineRule="auto"/>
        <w:rPr>
          <w:rFonts w:ascii="宋体" w:hAnsi="宋体" w:cs="宋体"/>
          <w:szCs w:val="21"/>
        </w:rPr>
      </w:pPr>
      <w:r>
        <w:rPr>
          <w:rFonts w:hint="eastAsia" w:ascii="宋体" w:hAnsi="宋体" w:cs="宋体"/>
          <w:szCs w:val="21"/>
        </w:rPr>
        <w:t>                 供应商：（公章）</w:t>
      </w:r>
    </w:p>
    <w:p w14:paraId="787B5F24">
      <w:pPr>
        <w:spacing w:line="360" w:lineRule="auto"/>
        <w:rPr>
          <w:rFonts w:ascii="宋体" w:hAnsi="宋体" w:cs="宋体"/>
          <w:szCs w:val="21"/>
        </w:rPr>
      </w:pPr>
      <w:r>
        <w:rPr>
          <w:rFonts w:hint="eastAsia" w:ascii="宋体" w:hAnsi="宋体" w:cs="宋体"/>
          <w:szCs w:val="21"/>
        </w:rPr>
        <w:t>                     法定代表人签字或盖章：</w:t>
      </w:r>
    </w:p>
    <w:p w14:paraId="3C786969">
      <w:pPr>
        <w:spacing w:line="360" w:lineRule="auto"/>
        <w:ind w:firstLine="3570" w:firstLineChars="1700"/>
        <w:rPr>
          <w:rFonts w:ascii="宋体" w:hAnsi="宋体" w:cs="宋体"/>
          <w:szCs w:val="21"/>
        </w:rPr>
      </w:pPr>
      <w:r>
        <w:rPr>
          <w:rFonts w:hint="eastAsia" w:ascii="宋体" w:hAnsi="宋体" w:cs="宋体"/>
          <w:szCs w:val="21"/>
        </w:rPr>
        <w:t>日期：    年    月    日</w:t>
      </w:r>
    </w:p>
    <w:p w14:paraId="3E996AF1">
      <w:pPr>
        <w:tabs>
          <w:tab w:val="left" w:pos="6045"/>
        </w:tabs>
        <w:snapToGrid w:val="0"/>
        <w:spacing w:line="360" w:lineRule="auto"/>
        <w:ind w:left="210" w:hanging="210" w:hangingChars="100"/>
        <w:rPr>
          <w:rFonts w:ascii="宋体" w:hAnsi="宋体" w:cs="宋体"/>
          <w:szCs w:val="21"/>
        </w:rPr>
      </w:pPr>
    </w:p>
    <w:p w14:paraId="518F98A4">
      <w:pPr>
        <w:snapToGrid w:val="0"/>
        <w:spacing w:line="360" w:lineRule="auto"/>
        <w:rPr>
          <w:rFonts w:ascii="宋体" w:hAnsi="宋体" w:cs="宋体"/>
          <w:szCs w:val="21"/>
        </w:rPr>
      </w:pPr>
      <w:r>
        <w:rPr>
          <w:rFonts w:hint="eastAsia" w:ascii="宋体" w:hAnsi="宋体" w:cs="宋体"/>
          <w:szCs w:val="21"/>
        </w:rPr>
        <w:t> </w:t>
      </w:r>
    </w:p>
    <w:p w14:paraId="4404E7AC">
      <w:pPr>
        <w:snapToGrid w:val="0"/>
        <w:spacing w:line="360" w:lineRule="auto"/>
        <w:rPr>
          <w:rFonts w:ascii="宋体" w:hAnsi="宋体" w:cs="宋体"/>
          <w:szCs w:val="21"/>
        </w:rPr>
      </w:pPr>
    </w:p>
    <w:p w14:paraId="316B4E13">
      <w:pPr>
        <w:snapToGrid w:val="0"/>
        <w:spacing w:line="360" w:lineRule="auto"/>
        <w:rPr>
          <w:rFonts w:ascii="宋体" w:hAnsi="宋体" w:cs="宋体"/>
          <w:b/>
          <w:szCs w:val="21"/>
        </w:rPr>
      </w:pPr>
    </w:p>
    <w:p w14:paraId="110E47F0">
      <w:pPr>
        <w:spacing w:line="360" w:lineRule="auto"/>
        <w:rPr>
          <w:rFonts w:ascii="宋体" w:hAnsi="宋体" w:cs="宋体"/>
          <w:szCs w:val="21"/>
        </w:rPr>
      </w:pPr>
      <w:r>
        <w:rPr>
          <w:rFonts w:hint="eastAsia" w:ascii="宋体" w:hAnsi="宋体" w:cs="宋体"/>
          <w:szCs w:val="21"/>
        </w:rPr>
        <w:t>法定代表人身份证</w:t>
      </w:r>
    </w:p>
    <w:p w14:paraId="3E2FE31A">
      <w:pPr>
        <w:spacing w:line="360" w:lineRule="auto"/>
        <w:rPr>
          <w:rFonts w:ascii="宋体" w:hAnsi="宋体" w:cs="宋体"/>
          <w:szCs w:val="21"/>
        </w:rPr>
      </w:pPr>
      <w:r>
        <w:rPr>
          <w:rFonts w:hint="eastAsia" w:ascii="宋体" w:hAnsi="宋体" w:cs="宋体"/>
          <w:szCs w:val="21"/>
        </w:rPr>
        <w:t>（双面复印件）粘贴处</w:t>
      </w:r>
    </w:p>
    <w:p w14:paraId="12C47D88">
      <w:pPr>
        <w:snapToGrid w:val="0"/>
        <w:spacing w:line="360" w:lineRule="auto"/>
        <w:rPr>
          <w:rFonts w:ascii="宋体" w:hAnsi="宋体" w:cs="宋体"/>
          <w:b/>
          <w:sz w:val="24"/>
          <w:szCs w:val="28"/>
        </w:rPr>
      </w:pPr>
    </w:p>
    <w:p w14:paraId="407F5E83">
      <w:pPr>
        <w:snapToGrid w:val="0"/>
        <w:spacing w:line="360" w:lineRule="auto"/>
        <w:rPr>
          <w:rFonts w:ascii="宋体" w:hAnsi="宋体" w:cs="宋体"/>
          <w:b/>
          <w:sz w:val="24"/>
          <w:szCs w:val="28"/>
        </w:rPr>
      </w:pPr>
    </w:p>
    <w:p w14:paraId="1244BAC0">
      <w:pPr>
        <w:rPr>
          <w:rFonts w:ascii="宋体" w:hAnsi="宋体" w:cs="宋体"/>
        </w:rPr>
      </w:pPr>
    </w:p>
    <w:p w14:paraId="270CACB3">
      <w:pPr>
        <w:rPr>
          <w:rFonts w:ascii="宋体" w:hAnsi="宋体" w:cs="宋体"/>
        </w:rPr>
      </w:pPr>
    </w:p>
    <w:p w14:paraId="50E5CAC1">
      <w:pPr>
        <w:rPr>
          <w:rFonts w:ascii="宋体" w:hAnsi="宋体" w:cs="宋体"/>
        </w:rPr>
      </w:pPr>
    </w:p>
    <w:p w14:paraId="32D90B8F">
      <w:pPr>
        <w:rPr>
          <w:rFonts w:ascii="宋体" w:hAnsi="宋体" w:cs="宋体"/>
        </w:rPr>
      </w:pPr>
    </w:p>
    <w:p w14:paraId="2E27F023">
      <w:pPr>
        <w:rPr>
          <w:rFonts w:ascii="宋体" w:hAnsi="宋体" w:cs="宋体"/>
        </w:rPr>
      </w:pPr>
    </w:p>
    <w:p w14:paraId="19DF5538">
      <w:pPr>
        <w:rPr>
          <w:rFonts w:ascii="宋体" w:hAnsi="宋体" w:cs="宋体"/>
        </w:rPr>
      </w:pPr>
    </w:p>
    <w:p w14:paraId="5B8D9415">
      <w:pPr>
        <w:rPr>
          <w:rFonts w:ascii="宋体" w:hAnsi="宋体" w:cs="宋体"/>
        </w:rPr>
      </w:pPr>
    </w:p>
    <w:p w14:paraId="721FD3D9">
      <w:pPr>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rPr>
        <w:br w:type="page"/>
      </w:r>
    </w:p>
    <w:p w14:paraId="4CE741E3">
      <w:pPr>
        <w:pStyle w:val="2"/>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4.授权委托书</w:t>
      </w:r>
    </w:p>
    <w:p w14:paraId="7B1556D7">
      <w:pPr>
        <w:pStyle w:val="48"/>
        <w:spacing w:line="360" w:lineRule="exact"/>
        <w:jc w:val="center"/>
        <w:rPr>
          <w:rFonts w:cs="宋体"/>
          <w:b/>
          <w:sz w:val="28"/>
          <w:szCs w:val="28"/>
        </w:rPr>
      </w:pPr>
      <w:r>
        <w:rPr>
          <w:rFonts w:hint="eastAsia" w:cs="宋体"/>
          <w:b/>
          <w:sz w:val="28"/>
          <w:szCs w:val="28"/>
        </w:rPr>
        <w:t>授权委托书</w:t>
      </w:r>
    </w:p>
    <w:p w14:paraId="79DCAAB1">
      <w:pPr>
        <w:adjustRightInd w:val="0"/>
        <w:snapToGrid w:val="0"/>
        <w:spacing w:line="360" w:lineRule="auto"/>
        <w:ind w:firstLine="516" w:firstLineChars="215"/>
        <w:rPr>
          <w:rFonts w:ascii="宋体" w:hAnsi="宋体" w:cs="宋体"/>
          <w:sz w:val="24"/>
          <w:szCs w:val="24"/>
        </w:rPr>
      </w:pPr>
    </w:p>
    <w:p w14:paraId="6473E7FC">
      <w:pPr>
        <w:adjustRightInd w:val="0"/>
        <w:snapToGrid w:val="0"/>
        <w:spacing w:line="360" w:lineRule="auto"/>
        <w:ind w:firstLine="516" w:firstLineChars="215"/>
        <w:rPr>
          <w:rFonts w:ascii="宋体" w:hAnsi="宋体" w:cs="宋体"/>
          <w:sz w:val="24"/>
          <w:szCs w:val="24"/>
        </w:rPr>
      </w:pPr>
      <w:r>
        <w:rPr>
          <w:rFonts w:hint="eastAsia" w:ascii="宋体" w:hAnsi="宋体" w:cs="宋体"/>
          <w:sz w:val="24"/>
          <w:szCs w:val="24"/>
        </w:rPr>
        <w:t>本授权委托书声明：我 ___________(姓名)系_________________（供应商名称）的法定代表人，现授权委托__________________（被授权人的姓名、职务）为本次磋商中我单位的合法代理人，全权负责参加本次项目的投标、签订合约以及与之相关的各项工作。本供应商对被授权人的签名负全部责任。</w:t>
      </w:r>
    </w:p>
    <w:p w14:paraId="69FCD176">
      <w:pPr>
        <w:adjustRightInd w:val="0"/>
        <w:snapToGrid w:val="0"/>
        <w:spacing w:line="360" w:lineRule="auto"/>
        <w:ind w:firstLine="397"/>
        <w:rPr>
          <w:rFonts w:ascii="宋体" w:hAnsi="宋体" w:cs="宋体"/>
          <w:sz w:val="24"/>
          <w:szCs w:val="24"/>
        </w:rPr>
      </w:pPr>
      <w:r>
        <w:rPr>
          <w:rFonts w:hint="eastAsia" w:ascii="宋体" w:hAnsi="宋体" w:cs="宋体"/>
          <w:sz w:val="24"/>
          <w:szCs w:val="24"/>
        </w:rPr>
        <w:t>本授权书于__________年_______月________日签字或盖章生效，特此声明。</w:t>
      </w:r>
    </w:p>
    <w:p w14:paraId="38BEA9B0">
      <w:pPr>
        <w:adjustRightInd w:val="0"/>
        <w:snapToGrid w:val="0"/>
        <w:spacing w:line="360" w:lineRule="auto"/>
        <w:rPr>
          <w:rFonts w:ascii="宋体" w:hAnsi="宋体" w:cs="宋体"/>
          <w:sz w:val="24"/>
          <w:szCs w:val="24"/>
        </w:rPr>
      </w:pPr>
    </w:p>
    <w:p w14:paraId="35577045">
      <w:pPr>
        <w:adjustRightInd w:val="0"/>
        <w:snapToGrid w:val="0"/>
        <w:spacing w:line="400" w:lineRule="exact"/>
        <w:rPr>
          <w:rFonts w:ascii="宋体" w:hAnsi="宋体" w:cs="宋体"/>
          <w:szCs w:val="21"/>
        </w:rPr>
      </w:pPr>
      <w:r>
        <w:rPr>
          <w:rFonts w:hint="eastAsia" w:ascii="宋体" w:hAnsi="宋体" w:cs="宋体"/>
          <w:szCs w:val="21"/>
        </w:rPr>
        <w:t>法定代表人签字或盖章：                       日期：</w:t>
      </w:r>
    </w:p>
    <w:p w14:paraId="746E6505">
      <w:pPr>
        <w:spacing w:line="400" w:lineRule="exact"/>
        <w:rPr>
          <w:rFonts w:ascii="宋体" w:hAnsi="宋体" w:cs="宋体"/>
          <w:szCs w:val="21"/>
        </w:rPr>
      </w:pPr>
      <w:r>
        <w:rPr>
          <w:rFonts w:hint="eastAsia" w:ascii="宋体" w:hAnsi="宋体" w:cs="宋体"/>
          <w:szCs w:val="21"/>
        </w:rPr>
        <w:t>职务：                                       联系电话：</w:t>
      </w:r>
    </w:p>
    <w:p w14:paraId="0E03669B">
      <w:pPr>
        <w:spacing w:line="400" w:lineRule="exact"/>
        <w:rPr>
          <w:rFonts w:ascii="宋体" w:hAnsi="宋体" w:cs="宋体"/>
          <w:szCs w:val="21"/>
        </w:rPr>
      </w:pPr>
      <w:r>
        <w:rPr>
          <w:rFonts w:hint="eastAsia" w:ascii="宋体" w:hAnsi="宋体" w:cs="宋体"/>
          <w:szCs w:val="21"/>
        </w:rPr>
        <w:t>单位名称：                                   地址：</w:t>
      </w:r>
    </w:p>
    <w:p w14:paraId="7E0548F9">
      <w:pPr>
        <w:spacing w:line="400" w:lineRule="exact"/>
        <w:rPr>
          <w:rFonts w:ascii="宋体" w:hAnsi="宋体" w:cs="宋体"/>
          <w:szCs w:val="21"/>
        </w:rPr>
      </w:pPr>
      <w:r>
        <w:rPr>
          <w:rFonts w:hint="eastAsia" w:ascii="宋体" w:hAnsi="宋体" w:cs="宋体"/>
          <w:szCs w:val="21"/>
        </w:rPr>
        <w:t>身份证号码：</w:t>
      </w:r>
    </w:p>
    <w:p w14:paraId="2D17C861">
      <w:pPr>
        <w:spacing w:line="400" w:lineRule="exact"/>
        <w:rPr>
          <w:rFonts w:ascii="宋体" w:hAnsi="宋体" w:cs="宋体"/>
          <w:szCs w:val="21"/>
        </w:rPr>
      </w:pPr>
    </w:p>
    <w:p w14:paraId="42EC7A1F">
      <w:pPr>
        <w:spacing w:line="400" w:lineRule="exact"/>
        <w:rPr>
          <w:rFonts w:ascii="宋体" w:hAnsi="宋体" w:cs="宋体"/>
          <w:szCs w:val="21"/>
        </w:rPr>
      </w:pPr>
      <w:r>
        <w:rPr>
          <w:rFonts w:hint="eastAsia" w:ascii="宋体" w:hAnsi="宋体" w:cs="宋体"/>
          <w:szCs w:val="21"/>
        </w:rPr>
        <w:t>委托代理人（被授权人）签字或盖章：           日期：</w:t>
      </w:r>
    </w:p>
    <w:p w14:paraId="1704FC55">
      <w:pPr>
        <w:spacing w:line="400" w:lineRule="exact"/>
        <w:rPr>
          <w:rFonts w:ascii="宋体" w:hAnsi="宋体" w:cs="宋体"/>
          <w:szCs w:val="21"/>
        </w:rPr>
      </w:pPr>
      <w:r>
        <w:rPr>
          <w:rFonts w:hint="eastAsia" w:ascii="宋体" w:hAnsi="宋体" w:cs="宋体"/>
          <w:szCs w:val="21"/>
        </w:rPr>
        <w:t>职务：                                       联系电话：</w:t>
      </w:r>
    </w:p>
    <w:p w14:paraId="25750A30">
      <w:pPr>
        <w:spacing w:line="400" w:lineRule="exact"/>
        <w:rPr>
          <w:rFonts w:ascii="宋体" w:hAnsi="宋体" w:cs="宋体"/>
          <w:szCs w:val="21"/>
        </w:rPr>
      </w:pPr>
      <w:r>
        <w:rPr>
          <w:rFonts w:hint="eastAsia" w:ascii="宋体" w:hAnsi="宋体" w:cs="宋体"/>
          <w:szCs w:val="21"/>
        </w:rPr>
        <w:t>单位名称：                                   地址：</w:t>
      </w:r>
    </w:p>
    <w:p w14:paraId="74AE7E87">
      <w:pPr>
        <w:spacing w:line="400" w:lineRule="exact"/>
        <w:rPr>
          <w:rFonts w:ascii="宋体" w:hAnsi="宋体" w:cs="宋体"/>
          <w:szCs w:val="21"/>
        </w:rPr>
      </w:pPr>
      <w:r>
        <w:rPr>
          <w:rFonts w:hint="eastAsia" w:ascii="宋体" w:hAnsi="宋体" w:cs="宋体"/>
          <w:szCs w:val="21"/>
        </w:rPr>
        <w:t>身份证号码：</w:t>
      </w:r>
    </w:p>
    <w:p w14:paraId="5A820B98">
      <w:pPr>
        <w:spacing w:line="400" w:lineRule="exact"/>
        <w:rPr>
          <w:rFonts w:ascii="宋体" w:hAnsi="宋体" w:cs="宋体"/>
          <w:szCs w:val="21"/>
        </w:rPr>
      </w:pPr>
    </w:p>
    <w:p w14:paraId="5FB3FAA4">
      <w:pPr>
        <w:spacing w:line="400" w:lineRule="exact"/>
        <w:rPr>
          <w:rFonts w:ascii="宋体" w:hAnsi="宋体" w:cs="宋体"/>
          <w:szCs w:val="21"/>
        </w:rPr>
      </w:pPr>
      <w:r>
        <w:rPr>
          <w:rFonts w:hint="eastAsia" w:ascii="宋体" w:hAnsi="宋体" w:cs="宋体"/>
          <w:szCs w:val="21"/>
        </w:rPr>
        <w:t xml:space="preserve">供应商公章： </w:t>
      </w:r>
    </w:p>
    <w:p w14:paraId="17A53A95">
      <w:pPr>
        <w:spacing w:line="400" w:lineRule="exact"/>
        <w:rPr>
          <w:rFonts w:ascii="宋体" w:hAnsi="宋体" w:cs="宋体"/>
          <w:szCs w:val="21"/>
        </w:rPr>
      </w:pPr>
      <w:r>
        <w:rPr>
          <w:rFonts w:hint="eastAsia" w:ascii="宋体" w:hAnsi="宋体" w:cs="宋体"/>
          <w:szCs w:val="21"/>
        </w:rPr>
        <w:t>地址：                                       电话：</w:t>
      </w:r>
    </w:p>
    <w:p w14:paraId="14EBE04A">
      <w:pPr>
        <w:spacing w:line="400" w:lineRule="exact"/>
        <w:rPr>
          <w:rFonts w:ascii="宋体" w:hAnsi="宋体" w:cs="宋体"/>
          <w:szCs w:val="21"/>
        </w:rPr>
      </w:pPr>
      <w:r>
        <w:rPr>
          <w:rFonts w:hint="eastAsia" w:ascii="宋体" w:hAnsi="宋体" w:cs="宋体"/>
          <w:szCs w:val="21"/>
        </w:rPr>
        <w:t>传真：                                       邮编：</w:t>
      </w:r>
    </w:p>
    <w:p w14:paraId="3DDF11D3">
      <w:pPr>
        <w:spacing w:line="400" w:lineRule="exact"/>
        <w:rPr>
          <w:rFonts w:ascii="宋体" w:hAnsi="宋体" w:cs="宋体"/>
          <w:szCs w:val="21"/>
        </w:rPr>
      </w:pPr>
      <w:r>
        <w:rPr>
          <w:rFonts w:hint="eastAsia" w:ascii="宋体" w:hAnsi="宋体" w:cs="宋体"/>
          <w:szCs w:val="21"/>
        </w:rPr>
        <w:t>开户行：</w:t>
      </w:r>
    </w:p>
    <w:p w14:paraId="48DBE14C">
      <w:pPr>
        <w:spacing w:line="400" w:lineRule="exact"/>
        <w:rPr>
          <w:rFonts w:ascii="宋体" w:hAnsi="宋体" w:cs="宋体"/>
          <w:szCs w:val="21"/>
        </w:rPr>
      </w:pPr>
      <w:r>
        <w:rPr>
          <w:rFonts w:hint="eastAsia" w:ascii="宋体" w:hAnsi="宋体" w:cs="宋体"/>
          <w:szCs w:val="21"/>
        </w:rPr>
        <w:t>账号：</w:t>
      </w:r>
    </w:p>
    <w:p w14:paraId="3B4199A0">
      <w:pPr>
        <w:spacing w:line="400" w:lineRule="exact"/>
        <w:rPr>
          <w:rFonts w:ascii="宋体" w:hAnsi="宋体" w:cs="宋体"/>
          <w:szCs w:val="21"/>
        </w:rPr>
      </w:pPr>
    </w:p>
    <w:p w14:paraId="4D79C13C">
      <w:pPr>
        <w:spacing w:line="400" w:lineRule="exact"/>
        <w:rPr>
          <w:rFonts w:ascii="宋体" w:hAnsi="宋体" w:cs="宋体"/>
          <w:szCs w:val="21"/>
        </w:rPr>
      </w:pPr>
      <w:r>
        <w:rPr>
          <w:rFonts w:hint="eastAsia" w:ascii="宋体" w:hAnsi="宋体" w:cs="宋体"/>
          <w:szCs w:val="21"/>
        </w:rPr>
        <w:t>代理人身份证</w:t>
      </w:r>
    </w:p>
    <w:p w14:paraId="522B1509">
      <w:pPr>
        <w:spacing w:line="360" w:lineRule="auto"/>
        <w:rPr>
          <w:rFonts w:ascii="宋体" w:hAnsi="宋体" w:cs="宋体"/>
          <w:sz w:val="24"/>
          <w:szCs w:val="24"/>
        </w:rPr>
      </w:pPr>
      <w:r>
        <w:rPr>
          <w:rFonts w:hint="eastAsia" w:ascii="宋体" w:hAnsi="宋体" w:cs="宋体"/>
          <w:szCs w:val="21"/>
        </w:rPr>
        <w:t>（双面复印件）粘贴处</w:t>
      </w:r>
    </w:p>
    <w:p w14:paraId="27B0EC7C">
      <w:pPr>
        <w:spacing w:line="360" w:lineRule="auto"/>
        <w:rPr>
          <w:rFonts w:ascii="宋体" w:hAnsi="宋体" w:cs="宋体"/>
          <w:sz w:val="24"/>
          <w:szCs w:val="24"/>
        </w:rPr>
      </w:pPr>
    </w:p>
    <w:p w14:paraId="4D653D53">
      <w:pPr>
        <w:spacing w:line="360" w:lineRule="auto"/>
        <w:rPr>
          <w:rFonts w:ascii="宋体" w:hAnsi="宋体" w:cs="宋体"/>
          <w:szCs w:val="21"/>
        </w:rPr>
      </w:pPr>
    </w:p>
    <w:p w14:paraId="113D0C11">
      <w:pPr>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rPr>
        <w:br w:type="page"/>
      </w:r>
    </w:p>
    <w:p w14:paraId="7B44ECE3">
      <w:pPr>
        <w:pStyle w:val="2"/>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5.报价一览表</w:t>
      </w:r>
    </w:p>
    <w:p w14:paraId="1DEF9265">
      <w:pPr>
        <w:jc w:val="center"/>
        <w:rPr>
          <w:rFonts w:ascii="宋体" w:hAnsi="宋体" w:cs="宋体"/>
          <w:b/>
          <w:color w:val="000000"/>
          <w:sz w:val="28"/>
          <w:szCs w:val="28"/>
        </w:rPr>
      </w:pPr>
      <w:r>
        <w:rPr>
          <w:rFonts w:hint="eastAsia" w:ascii="宋体" w:hAnsi="宋体" w:cs="宋体"/>
          <w:b/>
          <w:color w:val="000000"/>
          <w:sz w:val="28"/>
          <w:szCs w:val="28"/>
        </w:rPr>
        <w:t>报价一览表</w:t>
      </w:r>
    </w:p>
    <w:p w14:paraId="0DE741D7">
      <w:pPr>
        <w:spacing w:line="500" w:lineRule="exact"/>
        <w:rPr>
          <w:rFonts w:ascii="宋体" w:hAnsi="宋体" w:cs="宋体"/>
          <w:b/>
          <w:color w:val="000000"/>
          <w:kern w:val="0"/>
          <w:szCs w:val="21"/>
        </w:rPr>
      </w:pPr>
      <w:r>
        <w:rPr>
          <w:rFonts w:hint="eastAsia" w:ascii="宋体" w:hAnsi="宋体" w:cs="宋体"/>
          <w:b/>
          <w:color w:val="000000"/>
          <w:kern w:val="0"/>
          <w:sz w:val="24"/>
          <w:szCs w:val="24"/>
        </w:rPr>
        <w:t xml:space="preserve">                                         </w:t>
      </w:r>
      <w:r>
        <w:rPr>
          <w:rFonts w:hint="eastAsia" w:ascii="宋体" w:hAnsi="宋体" w:cs="宋体"/>
          <w:b/>
          <w:color w:val="000000"/>
          <w:kern w:val="0"/>
          <w:szCs w:val="21"/>
        </w:rPr>
        <w:t xml:space="preserve">       单位：人民币</w:t>
      </w:r>
    </w:p>
    <w:tbl>
      <w:tblPr>
        <w:tblStyle w:val="2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662"/>
      </w:tblGrid>
      <w:tr w14:paraId="5A288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14:paraId="78B0F977">
            <w:pPr>
              <w:jc w:val="center"/>
              <w:rPr>
                <w:rFonts w:ascii="宋体" w:hAnsi="宋体" w:cs="宋体"/>
                <w:color w:val="000000"/>
                <w:szCs w:val="21"/>
              </w:rPr>
            </w:pPr>
            <w:r>
              <w:rPr>
                <w:rFonts w:hint="eastAsia" w:ascii="宋体" w:hAnsi="宋体" w:cs="宋体"/>
                <w:color w:val="000000"/>
                <w:szCs w:val="21"/>
              </w:rPr>
              <w:t>项目名称</w:t>
            </w:r>
          </w:p>
        </w:tc>
        <w:tc>
          <w:tcPr>
            <w:tcW w:w="6662" w:type="dxa"/>
          </w:tcPr>
          <w:p w14:paraId="4CC464A0">
            <w:pPr>
              <w:widowControl/>
              <w:jc w:val="left"/>
              <w:rPr>
                <w:rFonts w:ascii="宋体" w:hAnsi="宋体" w:cs="宋体"/>
                <w:color w:val="000000"/>
                <w:szCs w:val="21"/>
              </w:rPr>
            </w:pPr>
          </w:p>
        </w:tc>
      </w:tr>
      <w:tr w14:paraId="29D4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9" w:hRule="atLeast"/>
        </w:trPr>
        <w:tc>
          <w:tcPr>
            <w:tcW w:w="2093" w:type="dxa"/>
            <w:vAlign w:val="center"/>
          </w:tcPr>
          <w:p w14:paraId="6D39DF70">
            <w:pPr>
              <w:jc w:val="center"/>
              <w:rPr>
                <w:rFonts w:ascii="宋体" w:hAnsi="宋体" w:cs="宋体"/>
                <w:color w:val="000000"/>
                <w:szCs w:val="21"/>
              </w:rPr>
            </w:pPr>
            <w:r>
              <w:rPr>
                <w:rFonts w:hint="eastAsia" w:ascii="宋体" w:hAnsi="宋体" w:cs="宋体"/>
                <w:color w:val="000000"/>
                <w:szCs w:val="21"/>
              </w:rPr>
              <w:t>项目编号</w:t>
            </w:r>
          </w:p>
        </w:tc>
        <w:tc>
          <w:tcPr>
            <w:tcW w:w="6662" w:type="dxa"/>
          </w:tcPr>
          <w:p w14:paraId="1215D4C1">
            <w:pPr>
              <w:widowControl/>
              <w:jc w:val="left"/>
              <w:rPr>
                <w:rFonts w:ascii="宋体" w:hAnsi="宋体" w:cs="宋体"/>
                <w:color w:val="000000"/>
                <w:szCs w:val="21"/>
              </w:rPr>
            </w:pPr>
          </w:p>
        </w:tc>
      </w:tr>
      <w:tr w14:paraId="2E90E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3" w:hRule="atLeast"/>
        </w:trPr>
        <w:tc>
          <w:tcPr>
            <w:tcW w:w="2093" w:type="dxa"/>
            <w:vAlign w:val="center"/>
          </w:tcPr>
          <w:p w14:paraId="35FEC7A1">
            <w:pPr>
              <w:jc w:val="center"/>
              <w:rPr>
                <w:rFonts w:ascii="宋体" w:hAnsi="宋体" w:cs="宋体"/>
                <w:color w:val="000000"/>
                <w:szCs w:val="21"/>
              </w:rPr>
            </w:pPr>
            <w:r>
              <w:rPr>
                <w:rFonts w:hint="eastAsia" w:ascii="宋体" w:hAnsi="宋体" w:cs="宋体"/>
                <w:color w:val="000000"/>
                <w:szCs w:val="21"/>
              </w:rPr>
              <w:t>磋商总价</w:t>
            </w:r>
          </w:p>
        </w:tc>
        <w:tc>
          <w:tcPr>
            <w:tcW w:w="6662" w:type="dxa"/>
          </w:tcPr>
          <w:p w14:paraId="373E1B8D">
            <w:pPr>
              <w:widowControl/>
              <w:jc w:val="center"/>
              <w:rPr>
                <w:rFonts w:ascii="宋体" w:hAnsi="宋体" w:cs="宋体"/>
                <w:color w:val="000000"/>
                <w:szCs w:val="21"/>
              </w:rPr>
            </w:pPr>
          </w:p>
        </w:tc>
      </w:tr>
      <w:tr w14:paraId="1BA13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093" w:type="dxa"/>
            <w:vAlign w:val="center"/>
          </w:tcPr>
          <w:p w14:paraId="54A55B3A">
            <w:pPr>
              <w:jc w:val="center"/>
              <w:rPr>
                <w:rFonts w:ascii="宋体" w:hAnsi="宋体" w:cs="宋体"/>
                <w:color w:val="000000"/>
                <w:szCs w:val="21"/>
              </w:rPr>
            </w:pPr>
            <w:r>
              <w:rPr>
                <w:rFonts w:hint="eastAsia" w:ascii="宋体" w:hAnsi="宋体" w:cs="宋体"/>
                <w:color w:val="000000"/>
                <w:szCs w:val="21"/>
              </w:rPr>
              <w:t>服务期限</w:t>
            </w:r>
          </w:p>
        </w:tc>
        <w:tc>
          <w:tcPr>
            <w:tcW w:w="6662" w:type="dxa"/>
            <w:vAlign w:val="center"/>
          </w:tcPr>
          <w:p w14:paraId="2CE90F40">
            <w:pPr>
              <w:widowControl/>
              <w:jc w:val="center"/>
              <w:rPr>
                <w:rFonts w:ascii="宋体" w:hAnsi="宋体" w:cs="宋体"/>
                <w:color w:val="000000"/>
                <w:szCs w:val="21"/>
              </w:rPr>
            </w:pPr>
          </w:p>
        </w:tc>
      </w:tr>
    </w:tbl>
    <w:p w14:paraId="48F8DEFA">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cs="宋体"/>
          <w:szCs w:val="21"/>
        </w:rPr>
        <w:t>名称（公章）：</w:t>
      </w:r>
    </w:p>
    <w:p w14:paraId="632AA793">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14:paraId="2753B11A">
      <w:pPr>
        <w:spacing w:line="360" w:lineRule="exact"/>
        <w:rPr>
          <w:rFonts w:ascii="宋体" w:hAnsi="宋体" w:cs="宋体"/>
          <w:color w:val="000000"/>
          <w:szCs w:val="21"/>
        </w:rPr>
      </w:pPr>
      <w:r>
        <w:rPr>
          <w:rFonts w:hint="eastAsia" w:ascii="宋体" w:hAnsi="宋体" w:cs="宋体"/>
          <w:color w:val="000000"/>
          <w:szCs w:val="21"/>
        </w:rPr>
        <w:t>日期：      年  月   日</w:t>
      </w:r>
    </w:p>
    <w:p w14:paraId="4EA18D87">
      <w:pPr>
        <w:widowControl/>
        <w:jc w:val="left"/>
        <w:rPr>
          <w:rFonts w:ascii="宋体" w:hAnsi="宋体" w:cs="宋体"/>
          <w:b/>
          <w:sz w:val="28"/>
          <w:szCs w:val="28"/>
        </w:rPr>
      </w:pPr>
      <w:r>
        <w:rPr>
          <w:rFonts w:hint="eastAsia" w:ascii="宋体" w:hAnsi="宋体" w:cs="宋体"/>
          <w:b/>
          <w:sz w:val="28"/>
          <w:szCs w:val="28"/>
        </w:rPr>
        <w:br w:type="page"/>
      </w:r>
    </w:p>
    <w:p w14:paraId="43ABDDF5">
      <w:pPr>
        <w:pStyle w:val="2"/>
        <w:jc w:val="left"/>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rPr>
        <w:t>6.偏离表</w:t>
      </w:r>
    </w:p>
    <w:p w14:paraId="1A7A55FC">
      <w:pPr>
        <w:jc w:val="center"/>
        <w:rPr>
          <w:rFonts w:ascii="宋体" w:hAnsi="宋体" w:cs="宋体"/>
          <w:b/>
          <w:sz w:val="28"/>
          <w:szCs w:val="28"/>
        </w:rPr>
      </w:pPr>
      <w:r>
        <w:rPr>
          <w:rFonts w:hint="eastAsia" w:ascii="宋体" w:hAnsi="宋体" w:cs="宋体"/>
          <w:b/>
          <w:sz w:val="28"/>
          <w:szCs w:val="28"/>
        </w:rPr>
        <w:t>偏 离 表</w:t>
      </w:r>
    </w:p>
    <w:p w14:paraId="320C5C11">
      <w:pPr>
        <w:ind w:firstLine="420" w:firstLineChars="200"/>
        <w:rPr>
          <w:rFonts w:ascii="宋体" w:hAnsi="宋体" w:cs="宋体"/>
          <w:szCs w:val="21"/>
        </w:rPr>
      </w:pPr>
      <w:r>
        <w:rPr>
          <w:rFonts w:hint="eastAsia" w:ascii="宋体" w:hAnsi="宋体" w:cs="宋体"/>
          <w:szCs w:val="21"/>
        </w:rPr>
        <w:t>供应商应对磋商文件中规定的商务及技术部分给予充分的考虑。为了评审的需要，供应商应将这些条款的异议逐条提出或根据以下要求的格式提出偏离。</w:t>
      </w:r>
    </w:p>
    <w:p w14:paraId="3EB304CB">
      <w:pPr>
        <w:ind w:firstLine="420" w:firstLineChars="200"/>
        <w:rPr>
          <w:rFonts w:ascii="宋体" w:hAnsi="宋体" w:cs="宋体"/>
          <w:szCs w:val="21"/>
        </w:rPr>
      </w:pPr>
      <w:r>
        <w:rPr>
          <w:rFonts w:hint="eastAsia" w:ascii="宋体" w:hAnsi="宋体" w:cs="宋体"/>
          <w:szCs w:val="21"/>
        </w:rPr>
        <w:t>如无偏离，请在本页上写“无”，并附在磋商响应文件中。</w:t>
      </w:r>
    </w:p>
    <w:p w14:paraId="730D2AE2">
      <w:pPr>
        <w:ind w:firstLine="420" w:firstLineChars="200"/>
        <w:rPr>
          <w:rFonts w:ascii="宋体" w:hAnsi="宋体" w:cs="宋体"/>
          <w:szCs w:val="21"/>
        </w:rPr>
      </w:pPr>
      <w:r>
        <w:rPr>
          <w:rFonts w:hint="eastAsia" w:ascii="宋体" w:hAnsi="宋体" w:cs="宋体"/>
          <w:szCs w:val="21"/>
        </w:rPr>
        <w:t>项目编号：</w:t>
      </w:r>
    </w:p>
    <w:tbl>
      <w:tblPr>
        <w:tblStyle w:val="21"/>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14:paraId="554CC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vAlign w:val="center"/>
          </w:tcPr>
          <w:p w14:paraId="65465959">
            <w:pPr>
              <w:jc w:val="center"/>
              <w:rPr>
                <w:rFonts w:ascii="宋体" w:hAnsi="宋体" w:cs="宋体"/>
                <w:szCs w:val="21"/>
              </w:rPr>
            </w:pPr>
            <w:r>
              <w:rPr>
                <w:rFonts w:hint="eastAsia" w:ascii="宋体" w:hAnsi="宋体" w:cs="宋体"/>
                <w:szCs w:val="21"/>
              </w:rPr>
              <w:t>章节号</w:t>
            </w:r>
          </w:p>
        </w:tc>
        <w:tc>
          <w:tcPr>
            <w:tcW w:w="2132" w:type="dxa"/>
            <w:vAlign w:val="center"/>
          </w:tcPr>
          <w:p w14:paraId="3FB90366">
            <w:pPr>
              <w:jc w:val="center"/>
              <w:rPr>
                <w:rFonts w:ascii="宋体" w:hAnsi="宋体" w:cs="宋体"/>
                <w:szCs w:val="21"/>
              </w:rPr>
            </w:pPr>
            <w:r>
              <w:rPr>
                <w:rFonts w:hint="eastAsia" w:ascii="宋体" w:hAnsi="宋体" w:cs="宋体"/>
                <w:szCs w:val="21"/>
              </w:rPr>
              <w:t>供应商的偏离</w:t>
            </w:r>
          </w:p>
        </w:tc>
        <w:tc>
          <w:tcPr>
            <w:tcW w:w="3044" w:type="dxa"/>
            <w:vAlign w:val="center"/>
          </w:tcPr>
          <w:p w14:paraId="5FF29571">
            <w:pPr>
              <w:jc w:val="center"/>
              <w:rPr>
                <w:rFonts w:ascii="宋体" w:hAnsi="宋体" w:cs="宋体"/>
                <w:szCs w:val="21"/>
              </w:rPr>
            </w:pPr>
            <w:r>
              <w:rPr>
                <w:rFonts w:hint="eastAsia" w:ascii="宋体" w:hAnsi="宋体" w:cs="宋体"/>
                <w:szCs w:val="21"/>
              </w:rPr>
              <w:t>供应商偏离的理由</w:t>
            </w:r>
          </w:p>
        </w:tc>
        <w:tc>
          <w:tcPr>
            <w:tcW w:w="1440" w:type="dxa"/>
            <w:vAlign w:val="center"/>
          </w:tcPr>
          <w:p w14:paraId="6296190B">
            <w:pPr>
              <w:jc w:val="center"/>
              <w:rPr>
                <w:rFonts w:ascii="宋体" w:hAnsi="宋体" w:cs="宋体"/>
                <w:szCs w:val="21"/>
              </w:rPr>
            </w:pPr>
            <w:r>
              <w:rPr>
                <w:rFonts w:hint="eastAsia" w:ascii="宋体" w:hAnsi="宋体" w:cs="宋体"/>
                <w:szCs w:val="21"/>
              </w:rPr>
              <w:t>备注</w:t>
            </w:r>
          </w:p>
        </w:tc>
      </w:tr>
      <w:tr w14:paraId="2226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60ED33FE">
            <w:pPr>
              <w:rPr>
                <w:rFonts w:ascii="宋体" w:hAnsi="宋体" w:cs="宋体"/>
                <w:szCs w:val="21"/>
              </w:rPr>
            </w:pPr>
          </w:p>
        </w:tc>
        <w:tc>
          <w:tcPr>
            <w:tcW w:w="2132" w:type="dxa"/>
          </w:tcPr>
          <w:p w14:paraId="0928E162">
            <w:pPr>
              <w:rPr>
                <w:rFonts w:ascii="宋体" w:hAnsi="宋体" w:cs="宋体"/>
                <w:szCs w:val="21"/>
              </w:rPr>
            </w:pPr>
          </w:p>
        </w:tc>
        <w:tc>
          <w:tcPr>
            <w:tcW w:w="3044" w:type="dxa"/>
          </w:tcPr>
          <w:p w14:paraId="647792EF">
            <w:pPr>
              <w:rPr>
                <w:rFonts w:ascii="宋体" w:hAnsi="宋体" w:cs="宋体"/>
                <w:szCs w:val="21"/>
              </w:rPr>
            </w:pPr>
          </w:p>
        </w:tc>
        <w:tc>
          <w:tcPr>
            <w:tcW w:w="1440" w:type="dxa"/>
          </w:tcPr>
          <w:p w14:paraId="571A4E18">
            <w:pPr>
              <w:rPr>
                <w:rFonts w:ascii="宋体" w:hAnsi="宋体" w:cs="宋体"/>
                <w:szCs w:val="21"/>
              </w:rPr>
            </w:pPr>
          </w:p>
        </w:tc>
      </w:tr>
      <w:tr w14:paraId="224EB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5D4476DC">
            <w:pPr>
              <w:rPr>
                <w:rFonts w:ascii="宋体" w:hAnsi="宋体" w:cs="宋体"/>
                <w:szCs w:val="21"/>
              </w:rPr>
            </w:pPr>
          </w:p>
        </w:tc>
        <w:tc>
          <w:tcPr>
            <w:tcW w:w="2132" w:type="dxa"/>
          </w:tcPr>
          <w:p w14:paraId="7A895A81">
            <w:pPr>
              <w:rPr>
                <w:rFonts w:ascii="宋体" w:hAnsi="宋体" w:cs="宋体"/>
                <w:szCs w:val="21"/>
              </w:rPr>
            </w:pPr>
          </w:p>
        </w:tc>
        <w:tc>
          <w:tcPr>
            <w:tcW w:w="3044" w:type="dxa"/>
          </w:tcPr>
          <w:p w14:paraId="285BBAC4">
            <w:pPr>
              <w:rPr>
                <w:rFonts w:ascii="宋体" w:hAnsi="宋体" w:cs="宋体"/>
                <w:szCs w:val="21"/>
              </w:rPr>
            </w:pPr>
          </w:p>
        </w:tc>
        <w:tc>
          <w:tcPr>
            <w:tcW w:w="1440" w:type="dxa"/>
          </w:tcPr>
          <w:p w14:paraId="16365E98">
            <w:pPr>
              <w:rPr>
                <w:rFonts w:ascii="宋体" w:hAnsi="宋体" w:cs="宋体"/>
                <w:szCs w:val="21"/>
              </w:rPr>
            </w:pPr>
          </w:p>
        </w:tc>
      </w:tr>
      <w:tr w14:paraId="1A5D6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461BF577">
            <w:pPr>
              <w:rPr>
                <w:rFonts w:ascii="宋体" w:hAnsi="宋体" w:cs="宋体"/>
                <w:szCs w:val="21"/>
              </w:rPr>
            </w:pPr>
          </w:p>
        </w:tc>
        <w:tc>
          <w:tcPr>
            <w:tcW w:w="2132" w:type="dxa"/>
          </w:tcPr>
          <w:p w14:paraId="5C7A34CE">
            <w:pPr>
              <w:rPr>
                <w:rFonts w:ascii="宋体" w:hAnsi="宋体" w:cs="宋体"/>
                <w:szCs w:val="21"/>
              </w:rPr>
            </w:pPr>
          </w:p>
        </w:tc>
        <w:tc>
          <w:tcPr>
            <w:tcW w:w="3044" w:type="dxa"/>
          </w:tcPr>
          <w:p w14:paraId="4409DEB2">
            <w:pPr>
              <w:rPr>
                <w:rFonts w:ascii="宋体" w:hAnsi="宋体" w:cs="宋体"/>
                <w:szCs w:val="21"/>
              </w:rPr>
            </w:pPr>
          </w:p>
        </w:tc>
        <w:tc>
          <w:tcPr>
            <w:tcW w:w="1440" w:type="dxa"/>
          </w:tcPr>
          <w:p w14:paraId="30D675C3">
            <w:pPr>
              <w:rPr>
                <w:rFonts w:ascii="宋体" w:hAnsi="宋体" w:cs="宋体"/>
                <w:szCs w:val="21"/>
              </w:rPr>
            </w:pPr>
          </w:p>
        </w:tc>
      </w:tr>
    </w:tbl>
    <w:p w14:paraId="77A48CD8">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cs="宋体"/>
          <w:szCs w:val="21"/>
        </w:rPr>
        <w:t>名称（公章）：</w:t>
      </w:r>
    </w:p>
    <w:p w14:paraId="369A4F43">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14:paraId="062C13E2">
      <w:pPr>
        <w:spacing w:line="360" w:lineRule="exact"/>
        <w:rPr>
          <w:rFonts w:ascii="宋体" w:hAnsi="宋体" w:cs="宋体"/>
          <w:color w:val="000000"/>
          <w:szCs w:val="21"/>
        </w:rPr>
      </w:pPr>
      <w:r>
        <w:rPr>
          <w:rFonts w:hint="eastAsia" w:ascii="宋体" w:hAnsi="宋体" w:cs="宋体"/>
          <w:color w:val="000000"/>
          <w:szCs w:val="21"/>
        </w:rPr>
        <w:t>日期：      年  月   日</w:t>
      </w:r>
    </w:p>
    <w:p w14:paraId="09A63FD1">
      <w:pPr>
        <w:pStyle w:val="5"/>
        <w:overflowPunct w:val="0"/>
        <w:spacing w:line="500" w:lineRule="exact"/>
        <w:ind w:firstLine="0"/>
        <w:rPr>
          <w:rFonts w:hAnsi="宋体" w:cs="宋体"/>
          <w:b/>
          <w:sz w:val="28"/>
          <w:szCs w:val="28"/>
        </w:rPr>
      </w:pPr>
    </w:p>
    <w:p w14:paraId="391FCB22">
      <w:pPr>
        <w:pStyle w:val="5"/>
        <w:overflowPunct w:val="0"/>
        <w:spacing w:line="500" w:lineRule="exact"/>
        <w:ind w:firstLine="0"/>
        <w:rPr>
          <w:rFonts w:hAnsi="宋体" w:cs="宋体"/>
          <w:b/>
          <w:sz w:val="28"/>
          <w:szCs w:val="28"/>
        </w:rPr>
      </w:pPr>
    </w:p>
    <w:p w14:paraId="1C46308D">
      <w:pPr>
        <w:pStyle w:val="2"/>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8.服务承诺书</w:t>
      </w:r>
    </w:p>
    <w:p w14:paraId="38F6FCE1">
      <w:pPr>
        <w:jc w:val="center"/>
        <w:rPr>
          <w:rFonts w:ascii="宋体" w:hAnsi="宋体" w:cs="宋体"/>
          <w:b/>
          <w:sz w:val="28"/>
          <w:szCs w:val="28"/>
        </w:rPr>
      </w:pPr>
      <w:r>
        <w:rPr>
          <w:rFonts w:hint="eastAsia" w:ascii="宋体" w:hAnsi="宋体" w:cs="宋体"/>
          <w:b/>
          <w:sz w:val="28"/>
          <w:szCs w:val="28"/>
        </w:rPr>
        <w:t>服务承诺书</w:t>
      </w:r>
    </w:p>
    <w:p w14:paraId="145C1052">
      <w:pPr>
        <w:spacing w:line="360" w:lineRule="auto"/>
        <w:rPr>
          <w:rFonts w:ascii="宋体" w:hAnsi="宋体" w:cs="宋体"/>
          <w:sz w:val="24"/>
          <w:szCs w:val="24"/>
        </w:rPr>
      </w:pPr>
    </w:p>
    <w:p w14:paraId="21E80462">
      <w:pPr>
        <w:spacing w:line="360" w:lineRule="auto"/>
        <w:rPr>
          <w:rFonts w:ascii="宋体" w:hAnsi="宋体" w:cs="宋体"/>
          <w:sz w:val="24"/>
          <w:szCs w:val="24"/>
        </w:rPr>
      </w:pPr>
      <w:r>
        <w:rPr>
          <w:rFonts w:hint="eastAsia" w:ascii="宋体" w:hAnsi="宋体" w:cs="宋体"/>
          <w:sz w:val="24"/>
          <w:szCs w:val="24"/>
        </w:rPr>
        <w:t>服务承诺如下：</w:t>
      </w:r>
    </w:p>
    <w:p w14:paraId="6A3F5A19">
      <w:pPr>
        <w:spacing w:line="360" w:lineRule="auto"/>
        <w:rPr>
          <w:rFonts w:ascii="宋体" w:hAnsi="宋体" w:cs="宋体"/>
          <w:sz w:val="24"/>
          <w:szCs w:val="24"/>
        </w:rPr>
      </w:pPr>
    </w:p>
    <w:p w14:paraId="395865B4">
      <w:pPr>
        <w:spacing w:line="360" w:lineRule="auto"/>
        <w:rPr>
          <w:rFonts w:ascii="宋体" w:hAnsi="宋体" w:cs="宋体"/>
          <w:sz w:val="24"/>
          <w:szCs w:val="24"/>
        </w:rPr>
      </w:pPr>
    </w:p>
    <w:p w14:paraId="26ED02AC">
      <w:pPr>
        <w:spacing w:line="360" w:lineRule="auto"/>
        <w:rPr>
          <w:rFonts w:ascii="宋体" w:hAnsi="宋体" w:cs="宋体"/>
          <w:sz w:val="24"/>
          <w:szCs w:val="24"/>
        </w:rPr>
      </w:pPr>
    </w:p>
    <w:p w14:paraId="76328DB9">
      <w:pPr>
        <w:spacing w:line="360" w:lineRule="auto"/>
        <w:rPr>
          <w:rFonts w:ascii="宋体" w:hAnsi="宋体" w:cs="宋体"/>
          <w:sz w:val="24"/>
          <w:szCs w:val="24"/>
        </w:rPr>
      </w:pPr>
    </w:p>
    <w:p w14:paraId="64F1DF34">
      <w:pPr>
        <w:spacing w:line="360" w:lineRule="auto"/>
        <w:rPr>
          <w:rFonts w:ascii="宋体" w:hAnsi="宋体" w:cs="宋体"/>
          <w:sz w:val="24"/>
          <w:szCs w:val="24"/>
        </w:rPr>
      </w:pPr>
    </w:p>
    <w:p w14:paraId="6E4BC441">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cs="宋体"/>
          <w:szCs w:val="21"/>
        </w:rPr>
        <w:t>名称（公章）：</w:t>
      </w:r>
    </w:p>
    <w:p w14:paraId="54E356C7">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14:paraId="7B6A7D22">
      <w:pPr>
        <w:spacing w:line="360" w:lineRule="exact"/>
        <w:rPr>
          <w:rFonts w:ascii="宋体" w:hAnsi="宋体" w:cs="宋体"/>
          <w:color w:val="000000"/>
          <w:szCs w:val="21"/>
        </w:rPr>
      </w:pPr>
      <w:r>
        <w:rPr>
          <w:rFonts w:hint="eastAsia" w:ascii="宋体" w:hAnsi="宋体" w:cs="宋体"/>
          <w:color w:val="000000"/>
          <w:szCs w:val="21"/>
        </w:rPr>
        <w:t>日期：      年  月   日</w:t>
      </w:r>
    </w:p>
    <w:p w14:paraId="0B5E9A25">
      <w:pPr>
        <w:rPr>
          <w:rFonts w:ascii="宋体" w:hAnsi="宋体" w:cs="宋体"/>
          <w:sz w:val="24"/>
          <w:szCs w:val="24"/>
        </w:rPr>
      </w:pPr>
    </w:p>
    <w:p w14:paraId="0C957972">
      <w:pPr>
        <w:rPr>
          <w:rFonts w:hint="eastAsia" w:ascii="宋体" w:hAnsi="宋体" w:cs="宋体"/>
          <w:b/>
          <w:kern w:val="0"/>
          <w:szCs w:val="21"/>
        </w:rPr>
      </w:pPr>
      <w:r>
        <w:rPr>
          <w:rFonts w:hint="eastAsia" w:ascii="宋体" w:hAnsi="宋体" w:cs="宋体"/>
          <w:b/>
          <w:kern w:val="0"/>
          <w:szCs w:val="21"/>
        </w:rPr>
        <w:br w:type="page"/>
      </w:r>
    </w:p>
    <w:p w14:paraId="7FB906B8">
      <w:pPr>
        <w:pStyle w:val="2"/>
        <w:jc w:val="left"/>
        <w:rPr>
          <w:rFonts w:ascii="宋体" w:hAnsi="宋体" w:cs="宋体"/>
          <w:b w:val="0"/>
          <w:bCs/>
          <w:color w:val="FF0000"/>
          <w:kern w:val="0"/>
          <w:szCs w:val="21"/>
        </w:rPr>
      </w:pPr>
      <w:r>
        <w:rPr>
          <w:rFonts w:hint="eastAsia" w:cs="宋体" w:asciiTheme="minorEastAsia" w:hAnsiTheme="minorEastAsia" w:eastAsiaTheme="minorEastAsia"/>
          <w:sz w:val="28"/>
          <w:szCs w:val="28"/>
          <w:lang w:val="en-US" w:eastAsia="zh-CN"/>
        </w:rPr>
        <w:t>7.</w:t>
      </w:r>
      <w:r>
        <w:rPr>
          <w:rFonts w:hint="eastAsia" w:cs="宋体" w:asciiTheme="minorEastAsia" w:hAnsiTheme="minorEastAsia" w:eastAsiaTheme="minorEastAsia"/>
          <w:sz w:val="28"/>
          <w:szCs w:val="28"/>
        </w:rPr>
        <w:t xml:space="preserve"> 联合体响应协议书  </w:t>
      </w:r>
      <w:r>
        <w:rPr>
          <w:rFonts w:hint="eastAsia" w:ascii="宋体" w:hAnsi="宋体" w:cs="宋体"/>
          <w:bCs/>
          <w:color w:val="FF0000"/>
          <w:kern w:val="0"/>
          <w:szCs w:val="21"/>
        </w:rPr>
        <w:t xml:space="preserve">                        </w:t>
      </w:r>
    </w:p>
    <w:p w14:paraId="2FA41E2E">
      <w:pPr>
        <w:jc w:val="center"/>
        <w:rPr>
          <w:rFonts w:ascii="宋体" w:hAnsi="宋体" w:cs="宋体"/>
          <w:b/>
          <w:sz w:val="28"/>
          <w:szCs w:val="28"/>
        </w:rPr>
      </w:pPr>
      <w:r>
        <w:rPr>
          <w:rFonts w:hint="eastAsia" w:ascii="宋体" w:hAnsi="宋体" w:cs="宋体"/>
          <w:b/>
          <w:sz w:val="28"/>
          <w:szCs w:val="28"/>
        </w:rPr>
        <w:t>联合体响应协议书</w:t>
      </w:r>
    </w:p>
    <w:p w14:paraId="1E004695">
      <w:pPr>
        <w:widowControl/>
        <w:snapToGrid w:val="0"/>
        <w:spacing w:line="360" w:lineRule="atLeast"/>
        <w:jc w:val="left"/>
        <w:rPr>
          <w:rFonts w:ascii="宋体" w:hAnsi="宋体" w:cs="宋体"/>
          <w:bCs/>
          <w:szCs w:val="21"/>
        </w:rPr>
      </w:pPr>
      <w:r>
        <w:rPr>
          <w:rFonts w:hint="eastAsia" w:ascii="宋体" w:hAnsi="宋体" w:cs="宋体"/>
          <w:bCs/>
          <w:szCs w:val="21"/>
        </w:rPr>
        <w:t>牵头人名称：</w:t>
      </w:r>
    </w:p>
    <w:p w14:paraId="562BEAA3">
      <w:pPr>
        <w:widowControl/>
        <w:snapToGrid w:val="0"/>
        <w:spacing w:line="360" w:lineRule="atLeast"/>
        <w:jc w:val="left"/>
        <w:rPr>
          <w:rFonts w:ascii="宋体" w:hAnsi="宋体" w:cs="宋体"/>
          <w:bCs/>
          <w:szCs w:val="21"/>
        </w:rPr>
      </w:pPr>
      <w:r>
        <w:rPr>
          <w:rFonts w:hint="eastAsia" w:ascii="宋体" w:hAnsi="宋体" w:cs="宋体"/>
          <w:bCs/>
          <w:szCs w:val="21"/>
        </w:rPr>
        <w:t>法定代表人：             法定住所：</w:t>
      </w:r>
    </w:p>
    <w:p w14:paraId="51DDE6F7">
      <w:pPr>
        <w:widowControl/>
        <w:snapToGrid w:val="0"/>
        <w:spacing w:line="360" w:lineRule="atLeast"/>
        <w:jc w:val="left"/>
        <w:rPr>
          <w:rFonts w:ascii="宋体" w:hAnsi="宋体" w:cs="宋体"/>
          <w:bCs/>
          <w:szCs w:val="21"/>
        </w:rPr>
      </w:pPr>
      <w:r>
        <w:rPr>
          <w:rFonts w:hint="eastAsia" w:ascii="宋体" w:hAnsi="宋体" w:cs="宋体"/>
          <w:bCs/>
          <w:szCs w:val="21"/>
        </w:rPr>
        <w:t>成员二名称：</w:t>
      </w:r>
    </w:p>
    <w:p w14:paraId="7865D6C8">
      <w:pPr>
        <w:widowControl/>
        <w:tabs>
          <w:tab w:val="center" w:pos="4153"/>
        </w:tabs>
        <w:snapToGrid w:val="0"/>
        <w:spacing w:line="360" w:lineRule="atLeast"/>
        <w:jc w:val="left"/>
        <w:rPr>
          <w:rFonts w:ascii="宋体" w:hAnsi="宋体" w:cs="宋体"/>
          <w:bCs/>
          <w:szCs w:val="21"/>
        </w:rPr>
      </w:pPr>
      <w:r>
        <w:rPr>
          <w:rFonts w:hint="eastAsia" w:ascii="宋体" w:hAnsi="宋体" w:cs="宋体"/>
          <w:bCs/>
          <w:szCs w:val="21"/>
        </w:rPr>
        <w:t>法定代表人：</w:t>
      </w:r>
      <w:r>
        <w:rPr>
          <w:rFonts w:ascii="宋体" w:hAnsi="宋体" w:cs="宋体"/>
          <w:bCs/>
          <w:szCs w:val="21"/>
        </w:rPr>
        <w:tab/>
      </w:r>
      <w:r>
        <w:rPr>
          <w:rFonts w:hint="eastAsia" w:ascii="宋体" w:hAnsi="宋体" w:cs="宋体"/>
          <w:bCs/>
          <w:szCs w:val="21"/>
        </w:rPr>
        <w:t xml:space="preserve">       法定住所： </w:t>
      </w:r>
    </w:p>
    <w:p w14:paraId="3BCFA943">
      <w:pPr>
        <w:widowControl/>
        <w:snapToGrid w:val="0"/>
        <w:spacing w:line="360" w:lineRule="atLeast"/>
        <w:ind w:firstLine="440"/>
        <w:jc w:val="left"/>
        <w:rPr>
          <w:rFonts w:ascii="宋体" w:hAnsi="宋体" w:cs="宋体"/>
          <w:bCs/>
          <w:szCs w:val="21"/>
        </w:rPr>
      </w:pPr>
      <w:r>
        <w:rPr>
          <w:rFonts w:hint="eastAsia" w:ascii="宋体" w:hAnsi="宋体" w:cs="宋体"/>
          <w:bCs/>
          <w:szCs w:val="21"/>
        </w:rPr>
        <w:t>……</w:t>
      </w:r>
    </w:p>
    <w:p w14:paraId="26BA5ED8">
      <w:pPr>
        <w:widowControl/>
        <w:snapToGrid w:val="0"/>
        <w:spacing w:line="360" w:lineRule="atLeast"/>
        <w:ind w:firstLine="440"/>
        <w:jc w:val="left"/>
        <w:rPr>
          <w:rFonts w:ascii="宋体" w:hAnsi="宋体" w:cs="宋体"/>
          <w:bCs/>
          <w:szCs w:val="21"/>
        </w:rPr>
      </w:pPr>
      <w:r>
        <w:rPr>
          <w:rFonts w:hint="eastAsia" w:ascii="宋体" w:hAnsi="宋体" w:cs="宋体"/>
          <w:bCs/>
          <w:szCs w:val="21"/>
        </w:rPr>
        <w:t>鉴于上述各成员单位经过友好协商，自愿组成</w:t>
      </w:r>
      <w:r>
        <w:rPr>
          <w:rFonts w:hint="eastAsia" w:ascii="宋体" w:hAnsi="宋体" w:cs="宋体"/>
          <w:bCs/>
          <w:szCs w:val="21"/>
          <w:u w:val="single"/>
        </w:rPr>
        <w:t xml:space="preserve">       </w:t>
      </w:r>
      <w:r>
        <w:rPr>
          <w:rFonts w:hint="eastAsia" w:ascii="宋体" w:hAnsi="宋体" w:cs="宋体"/>
          <w:bCs/>
          <w:szCs w:val="21"/>
        </w:rPr>
        <w:t>(联合体名称)联合体，共同参加</w:t>
      </w:r>
      <w:r>
        <w:rPr>
          <w:rFonts w:hint="eastAsia" w:ascii="宋体" w:hAnsi="宋体" w:cs="宋体"/>
          <w:bCs/>
          <w:szCs w:val="21"/>
          <w:u w:val="single"/>
        </w:rPr>
        <w:t>          </w:t>
      </w:r>
      <w:r>
        <w:rPr>
          <w:rFonts w:hint="eastAsia" w:ascii="宋体" w:hAnsi="宋体" w:cs="宋体"/>
          <w:bCs/>
          <w:szCs w:val="21"/>
        </w:rPr>
        <w:t>(采购人名称)(以下简称采购人)</w:t>
      </w:r>
      <w:r>
        <w:rPr>
          <w:rFonts w:hint="eastAsia" w:ascii="宋体" w:hAnsi="宋体" w:cs="宋体"/>
          <w:bCs/>
          <w:szCs w:val="21"/>
          <w:u w:val="single"/>
        </w:rPr>
        <w:t xml:space="preserve">        </w:t>
      </w:r>
      <w:r>
        <w:rPr>
          <w:rFonts w:hint="eastAsia" w:ascii="宋体" w:hAnsi="宋体" w:cs="宋体"/>
          <w:bCs/>
          <w:szCs w:val="21"/>
        </w:rPr>
        <w:t>(项目名称)(以下简称本项目)的采购活动并争取赢得本项目合同。现就联合体相关协议事宜订立如下：</w:t>
      </w:r>
    </w:p>
    <w:p w14:paraId="787779C4">
      <w:pPr>
        <w:widowControl/>
        <w:snapToGrid w:val="0"/>
        <w:spacing w:line="360" w:lineRule="atLeast"/>
        <w:ind w:firstLine="440"/>
        <w:jc w:val="left"/>
        <w:rPr>
          <w:rFonts w:ascii="宋体" w:hAnsi="宋体" w:cs="宋体"/>
          <w:bCs/>
          <w:szCs w:val="21"/>
        </w:rPr>
      </w:pPr>
      <w:r>
        <w:rPr>
          <w:rFonts w:hint="eastAsia" w:ascii="宋体" w:hAnsi="宋体" w:cs="宋体"/>
          <w:bCs/>
          <w:szCs w:val="21"/>
        </w:rPr>
        <w:t>1．</w:t>
      </w:r>
      <w:r>
        <w:rPr>
          <w:rFonts w:hint="eastAsia" w:ascii="宋体" w:hAnsi="宋体" w:cs="宋体"/>
          <w:bCs/>
          <w:szCs w:val="21"/>
          <w:u w:val="single"/>
        </w:rPr>
        <w:t xml:space="preserve">        </w:t>
      </w:r>
      <w:r>
        <w:rPr>
          <w:rFonts w:hint="eastAsia" w:ascii="宋体" w:hAnsi="宋体" w:cs="宋体"/>
          <w:bCs/>
          <w:szCs w:val="21"/>
        </w:rPr>
        <w:t>(某成员单位名称)为</w:t>
      </w:r>
      <w:r>
        <w:rPr>
          <w:rFonts w:hint="eastAsia" w:ascii="宋体" w:hAnsi="宋体" w:cs="宋体"/>
          <w:bCs/>
          <w:szCs w:val="21"/>
          <w:u w:val="single"/>
        </w:rPr>
        <w:t xml:space="preserve">             </w:t>
      </w:r>
      <w:r>
        <w:rPr>
          <w:rFonts w:hint="eastAsia" w:ascii="宋体" w:hAnsi="宋体" w:cs="宋体"/>
          <w:bCs/>
          <w:szCs w:val="21"/>
        </w:rPr>
        <w:t>(联合体名称)牵头人。</w:t>
      </w:r>
    </w:p>
    <w:p w14:paraId="58976D24">
      <w:pPr>
        <w:widowControl/>
        <w:snapToGrid w:val="0"/>
        <w:spacing w:line="360" w:lineRule="atLeast"/>
        <w:ind w:firstLine="440"/>
        <w:jc w:val="left"/>
        <w:rPr>
          <w:rFonts w:ascii="宋体" w:hAnsi="宋体" w:cs="宋体"/>
          <w:bCs/>
          <w:szCs w:val="21"/>
        </w:rPr>
      </w:pPr>
      <w:r>
        <w:rPr>
          <w:rFonts w:hint="eastAsia" w:ascii="宋体" w:hAnsi="宋体" w:cs="宋体"/>
          <w:bCs/>
          <w:szCs w:val="21"/>
        </w:rPr>
        <w:t>2．在本项目磋商阶段，联合体牵头人合法代表联合体各成员负责本项目磋商响应文件编制活动，代表联合体提交和接收相关的资料、信息及指示，并处理与磋商和成交有关的一切事务；联合体成交后，联合体牵头人负责合同订立和合同实施阶段的主办、组织和协调工作。</w:t>
      </w:r>
    </w:p>
    <w:p w14:paraId="09F60359">
      <w:pPr>
        <w:widowControl/>
        <w:snapToGrid w:val="0"/>
        <w:spacing w:line="360" w:lineRule="atLeast"/>
        <w:ind w:firstLine="440"/>
        <w:jc w:val="left"/>
        <w:rPr>
          <w:rFonts w:ascii="宋体" w:hAnsi="宋体" w:cs="宋体"/>
          <w:bCs/>
          <w:szCs w:val="21"/>
        </w:rPr>
      </w:pPr>
      <w:r>
        <w:rPr>
          <w:rFonts w:hint="eastAsia" w:ascii="宋体" w:hAnsi="宋体" w:cs="宋体"/>
          <w:bCs/>
          <w:szCs w:val="21"/>
        </w:rPr>
        <w:t>3．联合体将严格按照磋商文件的各项要求，提交响应文件，履行磋商义务和成交后的合同，共同承担</w:t>
      </w:r>
      <w:bookmarkStart w:id="8" w:name="_GoBack"/>
      <w:bookmarkEnd w:id="8"/>
      <w:r>
        <w:rPr>
          <w:rFonts w:hint="eastAsia" w:ascii="宋体" w:hAnsi="宋体" w:cs="宋体"/>
          <w:bCs/>
          <w:szCs w:val="21"/>
        </w:rPr>
        <w:t>合同规定的一切义务和责任，联合体各成员单位按照内部职责的部分，承担各自所负的责任和风险，并向采购人承担连带责任。</w:t>
      </w:r>
    </w:p>
    <w:p w14:paraId="12C0EB1A">
      <w:pPr>
        <w:widowControl/>
        <w:snapToGrid w:val="0"/>
        <w:spacing w:line="360" w:lineRule="atLeast"/>
        <w:ind w:firstLine="440"/>
        <w:jc w:val="left"/>
        <w:rPr>
          <w:rFonts w:ascii="宋体" w:hAnsi="宋体" w:cs="宋体"/>
          <w:bCs/>
          <w:szCs w:val="21"/>
        </w:rPr>
      </w:pPr>
      <w:r>
        <w:rPr>
          <w:rFonts w:hint="eastAsia" w:ascii="宋体" w:hAnsi="宋体" w:cs="宋体"/>
          <w:bCs/>
          <w:szCs w:val="21"/>
        </w:rPr>
        <w:t>4．联合体各成员单位内部的职责分工如下：</w:t>
      </w:r>
      <w:r>
        <w:rPr>
          <w:rFonts w:hint="eastAsia" w:ascii="宋体" w:hAnsi="宋体" w:cs="宋体"/>
          <w:bCs/>
          <w:szCs w:val="21"/>
          <w:u w:val="single"/>
        </w:rPr>
        <w:t>                </w:t>
      </w:r>
      <w:r>
        <w:rPr>
          <w:rFonts w:hint="eastAsia" w:ascii="宋体" w:hAnsi="宋体" w:cs="宋体"/>
          <w:bCs/>
          <w:szCs w:val="21"/>
        </w:rPr>
        <w:t>。按照本条上述分工，联合体成员单位各自所承担的合同工作量比例如下：</w:t>
      </w:r>
      <w:r>
        <w:rPr>
          <w:rFonts w:hint="eastAsia" w:ascii="宋体" w:hAnsi="宋体" w:cs="宋体"/>
          <w:bCs/>
          <w:szCs w:val="21"/>
          <w:u w:val="single"/>
        </w:rPr>
        <w:t>          </w:t>
      </w:r>
      <w:r>
        <w:rPr>
          <w:rFonts w:hint="eastAsia" w:ascii="宋体" w:hAnsi="宋体" w:cs="宋体"/>
          <w:bCs/>
          <w:szCs w:val="21"/>
        </w:rPr>
        <w:t>。</w:t>
      </w:r>
    </w:p>
    <w:p w14:paraId="69636DF2">
      <w:pPr>
        <w:widowControl/>
        <w:snapToGrid w:val="0"/>
        <w:spacing w:line="360" w:lineRule="atLeast"/>
        <w:ind w:firstLine="440"/>
        <w:jc w:val="left"/>
        <w:rPr>
          <w:rFonts w:ascii="宋体" w:hAnsi="宋体" w:cs="宋体"/>
          <w:bCs/>
          <w:szCs w:val="21"/>
        </w:rPr>
      </w:pPr>
      <w:r>
        <w:rPr>
          <w:rFonts w:hint="eastAsia" w:ascii="宋体" w:hAnsi="宋体" w:cs="宋体"/>
          <w:bCs/>
          <w:szCs w:val="21"/>
        </w:rPr>
        <w:t>5．磋商工作和联合体在成交后项目实施过程中的有关费用按各自承担的工作量分摊。</w:t>
      </w:r>
    </w:p>
    <w:p w14:paraId="5AF14719">
      <w:pPr>
        <w:widowControl/>
        <w:snapToGrid w:val="0"/>
        <w:spacing w:line="360" w:lineRule="atLeast"/>
        <w:ind w:firstLine="440"/>
        <w:jc w:val="left"/>
        <w:rPr>
          <w:rFonts w:ascii="宋体" w:hAnsi="宋体" w:cs="宋体"/>
          <w:bCs/>
          <w:szCs w:val="21"/>
        </w:rPr>
      </w:pPr>
      <w:r>
        <w:rPr>
          <w:rFonts w:hint="eastAsia" w:ascii="宋体" w:hAnsi="宋体" w:cs="宋体"/>
          <w:bCs/>
          <w:szCs w:val="21"/>
        </w:rPr>
        <w:t>6．联合体成交后，本联合体协议是合同的附件，对联合体各成员单位有合同约束力。</w:t>
      </w:r>
    </w:p>
    <w:p w14:paraId="5C745100">
      <w:pPr>
        <w:widowControl/>
        <w:snapToGrid w:val="0"/>
        <w:spacing w:line="360" w:lineRule="atLeast"/>
        <w:ind w:firstLine="440"/>
        <w:jc w:val="left"/>
        <w:rPr>
          <w:rFonts w:ascii="宋体" w:hAnsi="宋体" w:cs="宋体"/>
          <w:bCs/>
          <w:szCs w:val="21"/>
        </w:rPr>
      </w:pPr>
      <w:r>
        <w:rPr>
          <w:rFonts w:hint="eastAsia" w:ascii="宋体" w:hAnsi="宋体" w:cs="宋体"/>
          <w:bCs/>
          <w:szCs w:val="21"/>
        </w:rPr>
        <w:t>7．本协议书自签署之日起生效，联合体未成交或者成交时合同履行完毕后自动失效。</w:t>
      </w:r>
    </w:p>
    <w:p w14:paraId="515DD5A4">
      <w:pPr>
        <w:widowControl/>
        <w:snapToGrid w:val="0"/>
        <w:spacing w:line="360" w:lineRule="atLeast"/>
        <w:ind w:firstLine="440"/>
        <w:jc w:val="left"/>
        <w:rPr>
          <w:rFonts w:ascii="宋体" w:hAnsi="宋体" w:cs="宋体"/>
          <w:bCs/>
          <w:szCs w:val="21"/>
        </w:rPr>
      </w:pPr>
      <w:r>
        <w:rPr>
          <w:rFonts w:hint="eastAsia" w:ascii="宋体" w:hAnsi="宋体" w:cs="宋体"/>
          <w:bCs/>
          <w:szCs w:val="21"/>
        </w:rPr>
        <w:t>8．本协议书一式</w:t>
      </w:r>
      <w:r>
        <w:rPr>
          <w:rFonts w:hint="eastAsia" w:ascii="宋体" w:hAnsi="宋体" w:cs="宋体"/>
          <w:bCs/>
          <w:szCs w:val="21"/>
          <w:u w:val="single"/>
        </w:rPr>
        <w:t>     </w:t>
      </w:r>
      <w:r>
        <w:rPr>
          <w:rFonts w:hint="eastAsia" w:ascii="宋体" w:hAnsi="宋体" w:cs="宋体"/>
          <w:bCs/>
          <w:szCs w:val="21"/>
        </w:rPr>
        <w:t>份，联合体成员和采购人各执一份。</w:t>
      </w:r>
    </w:p>
    <w:p w14:paraId="38D05E56">
      <w:pPr>
        <w:widowControl/>
        <w:snapToGrid w:val="0"/>
        <w:spacing w:line="360" w:lineRule="atLeast"/>
        <w:ind w:firstLine="440"/>
        <w:jc w:val="left"/>
        <w:rPr>
          <w:rFonts w:ascii="宋体" w:hAnsi="宋体" w:cs="宋体"/>
          <w:bCs/>
          <w:szCs w:val="21"/>
        </w:rPr>
      </w:pPr>
      <w:r>
        <w:rPr>
          <w:rFonts w:hint="eastAsia" w:ascii="宋体" w:hAnsi="宋体" w:cs="宋体"/>
          <w:bCs/>
          <w:szCs w:val="21"/>
        </w:rPr>
        <w:t>牵头人名称：                     (盖单位章)</w:t>
      </w:r>
    </w:p>
    <w:p w14:paraId="4C5654BE">
      <w:pPr>
        <w:widowControl/>
        <w:snapToGrid w:val="0"/>
        <w:spacing w:line="360" w:lineRule="atLeast"/>
        <w:ind w:firstLine="440"/>
        <w:jc w:val="left"/>
        <w:rPr>
          <w:rFonts w:ascii="宋体" w:hAnsi="宋体" w:cs="宋体"/>
          <w:bCs/>
          <w:szCs w:val="21"/>
        </w:rPr>
      </w:pPr>
      <w:r>
        <w:rPr>
          <w:rFonts w:hint="eastAsia" w:ascii="宋体" w:hAnsi="宋体" w:cs="宋体"/>
          <w:bCs/>
          <w:szCs w:val="21"/>
        </w:rPr>
        <w:t>法定代表人或其委托代理人：               (签字)</w:t>
      </w:r>
    </w:p>
    <w:p w14:paraId="3728528D">
      <w:pPr>
        <w:widowControl/>
        <w:snapToGrid w:val="0"/>
        <w:spacing w:line="360" w:lineRule="atLeast"/>
        <w:ind w:firstLine="440"/>
        <w:jc w:val="left"/>
        <w:rPr>
          <w:rFonts w:ascii="宋体" w:hAnsi="宋体" w:cs="宋体"/>
          <w:bCs/>
          <w:szCs w:val="21"/>
        </w:rPr>
      </w:pPr>
      <w:r>
        <w:rPr>
          <w:rFonts w:hint="eastAsia" w:ascii="宋体" w:hAnsi="宋体" w:cs="宋体"/>
          <w:bCs/>
          <w:szCs w:val="21"/>
        </w:rPr>
        <w:t>成员二名称：                     (盖单位章)</w:t>
      </w:r>
    </w:p>
    <w:p w14:paraId="1D754D14">
      <w:pPr>
        <w:widowControl/>
        <w:snapToGrid w:val="0"/>
        <w:spacing w:line="360" w:lineRule="atLeast"/>
        <w:ind w:firstLine="440"/>
        <w:jc w:val="left"/>
        <w:rPr>
          <w:rFonts w:ascii="宋体" w:hAnsi="宋体" w:cs="宋体"/>
          <w:bCs/>
          <w:szCs w:val="21"/>
        </w:rPr>
      </w:pPr>
      <w:r>
        <w:rPr>
          <w:rFonts w:hint="eastAsia" w:ascii="宋体" w:hAnsi="宋体" w:cs="宋体"/>
          <w:bCs/>
          <w:szCs w:val="21"/>
        </w:rPr>
        <w:t>法定代表人或其委托代理人：              (签字)</w:t>
      </w:r>
    </w:p>
    <w:p w14:paraId="646DDF7E">
      <w:pPr>
        <w:widowControl/>
        <w:snapToGrid w:val="0"/>
        <w:spacing w:line="360" w:lineRule="atLeast"/>
        <w:ind w:firstLine="440"/>
        <w:jc w:val="left"/>
        <w:rPr>
          <w:rFonts w:ascii="宋体" w:hAnsi="宋体" w:cs="宋体"/>
          <w:bCs/>
          <w:szCs w:val="21"/>
        </w:rPr>
      </w:pPr>
      <w:r>
        <w:rPr>
          <w:rFonts w:hint="eastAsia" w:ascii="宋体" w:hAnsi="宋体" w:cs="宋体"/>
          <w:bCs/>
          <w:szCs w:val="21"/>
        </w:rPr>
        <w:t>……</w:t>
      </w:r>
    </w:p>
    <w:p w14:paraId="79980C3B">
      <w:pPr>
        <w:widowControl/>
        <w:snapToGrid w:val="0"/>
        <w:spacing w:line="360" w:lineRule="atLeast"/>
        <w:ind w:firstLine="440"/>
        <w:jc w:val="left"/>
        <w:rPr>
          <w:rFonts w:ascii="宋体" w:hAnsi="宋体" w:cs="宋体"/>
          <w:bCs/>
          <w:szCs w:val="21"/>
        </w:rPr>
      </w:pPr>
      <w:r>
        <w:rPr>
          <w:rFonts w:hint="eastAsia" w:ascii="宋体" w:hAnsi="宋体" w:cs="宋体"/>
          <w:bCs/>
          <w:szCs w:val="21"/>
        </w:rPr>
        <w:t xml:space="preserve">                                      年   月   日 </w:t>
      </w:r>
    </w:p>
    <w:p w14:paraId="05834155">
      <w:pPr>
        <w:widowControl/>
        <w:spacing w:line="360" w:lineRule="atLeast"/>
        <w:ind w:firstLine="420" w:firstLineChars="200"/>
        <w:jc w:val="left"/>
        <w:rPr>
          <w:rFonts w:ascii="宋体" w:hAnsi="宋体" w:cs="宋体"/>
          <w:bCs/>
          <w:szCs w:val="21"/>
        </w:rPr>
      </w:pPr>
      <w:r>
        <w:rPr>
          <w:rFonts w:hint="eastAsia" w:ascii="宋体" w:hAnsi="宋体" w:cs="宋体"/>
          <w:bCs/>
          <w:szCs w:val="21"/>
        </w:rPr>
        <w:t>备注：本协议书由委托代理人签字的，应附法定代表人签字的授权委托书。</w:t>
      </w:r>
    </w:p>
    <w:p w14:paraId="1D8AE456">
      <w:pPr>
        <w:widowControl/>
        <w:spacing w:line="360" w:lineRule="atLeast"/>
        <w:jc w:val="left"/>
        <w:rPr>
          <w:rFonts w:ascii="宋体" w:hAnsi="宋体" w:cs="宋体"/>
          <w:bCs/>
          <w:szCs w:val="21"/>
        </w:rPr>
      </w:pPr>
    </w:p>
    <w:p w14:paraId="0C7AD053">
      <w:pPr>
        <w:widowControl/>
        <w:spacing w:line="360" w:lineRule="atLeast"/>
        <w:jc w:val="center"/>
        <w:rPr>
          <w:rFonts w:ascii="宋体" w:hAnsi="宋体" w:cs="宋体"/>
          <w:bCs/>
          <w:szCs w:val="21"/>
        </w:rPr>
      </w:pPr>
      <w:r>
        <w:rPr>
          <w:rFonts w:hint="eastAsia" w:ascii="宋体" w:hAnsi="宋体" w:cs="宋体"/>
          <w:bCs/>
          <w:szCs w:val="21"/>
        </w:rPr>
        <w:t>本磋商文件的最终解释权归常州市城投建设工程招标有限公司所有。</w:t>
      </w:r>
    </w:p>
    <w:p w14:paraId="2028DC8E">
      <w:pPr>
        <w:widowControl/>
        <w:spacing w:line="360" w:lineRule="atLeast"/>
        <w:jc w:val="center"/>
        <w:rPr>
          <w:rFonts w:ascii="宋体" w:hAnsi="宋体" w:cs="宋体"/>
        </w:rPr>
      </w:pPr>
      <w:r>
        <w:rPr>
          <w:rFonts w:hint="eastAsia" w:ascii="宋体" w:hAnsi="宋体" w:cs="宋体"/>
          <w:b/>
          <w:sz w:val="32"/>
        </w:rPr>
        <w:t>（全文完）</w:t>
      </w:r>
    </w:p>
    <w:sectPr>
      <w:headerReference r:id="rId11" w:type="first"/>
      <w:headerReference r:id="rId10" w:type="even"/>
      <w:footerReference r:id="rId12" w:type="even"/>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entury">
    <w:altName w:val="Times New Roman"/>
    <w:panose1 w:val="02040604050505020304"/>
    <w:charset w:val="00"/>
    <w:family w:val="roman"/>
    <w:pitch w:val="default"/>
    <w:sig w:usb0="00000000" w:usb1="00000000" w:usb2="00000000" w:usb3="00000000" w:csb0="0000009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47E9E">
    <w:pPr>
      <w:pStyle w:val="15"/>
      <w:tabs>
        <w:tab w:val="right" w:pos="8306"/>
        <w:tab w:val="clear" w:pos="8307"/>
      </w:tabs>
      <w:jc w:val="center"/>
      <w:rPr>
        <w:rFonts w:ascii="楷体_GB2312" w:hAnsi="楷体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12</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32</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39804">
    <w:pPr>
      <w:pStyle w:val="15"/>
      <w:framePr w:wrap="around" w:vAnchor="text" w:hAnchor="margin" w:xAlign="outside" w:y="1"/>
      <w:rPr>
        <w:rStyle w:val="52"/>
      </w:rPr>
    </w:pPr>
    <w:r>
      <w:fldChar w:fldCharType="begin"/>
    </w:r>
    <w:r>
      <w:rPr>
        <w:rStyle w:val="52"/>
      </w:rPr>
      <w:instrText xml:space="preserve">PAGE  </w:instrText>
    </w:r>
    <w:r>
      <w:fldChar w:fldCharType="end"/>
    </w:r>
  </w:p>
  <w:p w14:paraId="0A0C0CC4">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93CCC">
    <w:pPr>
      <w:pStyle w:val="15"/>
      <w:framePr w:wrap="around" w:vAnchor="text" w:hAnchor="margin" w:xAlign="outside" w:y="1"/>
      <w:rPr>
        <w:rStyle w:val="52"/>
      </w:rPr>
    </w:pPr>
    <w:r>
      <w:fldChar w:fldCharType="begin"/>
    </w:r>
    <w:r>
      <w:rPr>
        <w:rStyle w:val="52"/>
      </w:rPr>
      <w:instrText xml:space="preserve">PAGE  </w:instrText>
    </w:r>
    <w:r>
      <w:fldChar w:fldCharType="end"/>
    </w:r>
  </w:p>
  <w:p w14:paraId="47B50CBA">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1890A">
    <w:pPr>
      <w:pStyle w:val="16"/>
      <w:tabs>
        <w:tab w:val="right" w:pos="8306"/>
        <w:tab w:val="clear" w:pos="8307"/>
      </w:tabs>
      <w:jc w:val="right"/>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401310" cy="5401310"/>
          <wp:effectExtent l="0" t="0" r="8890" b="8890"/>
          <wp:wrapNone/>
          <wp:docPr id="7"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6388133"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t>常州市城投建设工程招标有限公司</w:t>
    </w:r>
    <w:r>
      <w:rPr>
        <w:rFonts w:hint="eastAsia"/>
      </w:rPr>
      <w:t>竞争性磋商</w:t>
    </w:r>
    <w: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5849D">
    <w:pPr>
      <w:pStyle w:val="16"/>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401310" cy="5401310"/>
          <wp:effectExtent l="0" t="0" r="8890" b="8890"/>
          <wp:wrapNone/>
          <wp:docPr id="6" name="WordPictureWatermark6388132"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6388132"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A265F">
    <w:pPr>
      <w:pStyle w:val="16"/>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401310" cy="5401310"/>
          <wp:effectExtent l="0" t="0" r="8890" b="8890"/>
          <wp:wrapNone/>
          <wp:docPr id="1" name="WordPictureWatermark6388131"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1"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04026">
    <w:pPr>
      <w:pStyle w:val="16"/>
    </w:pPr>
    <w:r>
      <w:drawing>
        <wp:anchor distT="0" distB="0" distL="114300" distR="114300" simplePos="0" relativeHeight="251665408" behindDoc="1" locked="0" layoutInCell="0" allowOverlap="1">
          <wp:simplePos x="0" y="0"/>
          <wp:positionH relativeFrom="margin">
            <wp:align>center</wp:align>
          </wp:positionH>
          <wp:positionV relativeFrom="margin">
            <wp:align>center</wp:align>
          </wp:positionV>
          <wp:extent cx="5401310" cy="5401310"/>
          <wp:effectExtent l="0" t="0" r="8890" b="8890"/>
          <wp:wrapNone/>
          <wp:docPr id="9"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C6C9E">
    <w:pPr>
      <w:pStyle w:val="16"/>
    </w:pPr>
    <w:r>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401310" cy="5401310"/>
          <wp:effectExtent l="0" t="0" r="8890" b="8890"/>
          <wp:wrapNone/>
          <wp:docPr id="8"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24454">
    <w:pPr>
      <w:pStyle w:val="16"/>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401310" cy="5401310"/>
          <wp:effectExtent l="0" t="0" r="8890" b="8890"/>
          <wp:wrapNone/>
          <wp:docPr id="2"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3FBC6">
    <w:pPr>
      <w:pStyle w:val="16"/>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401310" cy="5401310"/>
          <wp:effectExtent l="0" t="0" r="8890" b="8890"/>
          <wp:wrapNone/>
          <wp:docPr id="3"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AEEE46"/>
    <w:multiLevelType w:val="singleLevel"/>
    <w:tmpl w:val="5BAEEE4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7CE"/>
    <w:rsid w:val="0000020E"/>
    <w:rsid w:val="0000087D"/>
    <w:rsid w:val="000062CC"/>
    <w:rsid w:val="0000798A"/>
    <w:rsid w:val="00010F5E"/>
    <w:rsid w:val="00011BA4"/>
    <w:rsid w:val="00011D53"/>
    <w:rsid w:val="00013E93"/>
    <w:rsid w:val="0001465B"/>
    <w:rsid w:val="00014697"/>
    <w:rsid w:val="00015726"/>
    <w:rsid w:val="00016174"/>
    <w:rsid w:val="00021A28"/>
    <w:rsid w:val="000223FC"/>
    <w:rsid w:val="000237EB"/>
    <w:rsid w:val="00025AD8"/>
    <w:rsid w:val="00026B65"/>
    <w:rsid w:val="00027113"/>
    <w:rsid w:val="000309E8"/>
    <w:rsid w:val="000400AF"/>
    <w:rsid w:val="000401EB"/>
    <w:rsid w:val="0004175C"/>
    <w:rsid w:val="00043F2D"/>
    <w:rsid w:val="00052763"/>
    <w:rsid w:val="0005295F"/>
    <w:rsid w:val="00052D7C"/>
    <w:rsid w:val="000530A2"/>
    <w:rsid w:val="00054DD8"/>
    <w:rsid w:val="0005783A"/>
    <w:rsid w:val="0006059F"/>
    <w:rsid w:val="00060771"/>
    <w:rsid w:val="00061F14"/>
    <w:rsid w:val="00074403"/>
    <w:rsid w:val="00074642"/>
    <w:rsid w:val="00074A8C"/>
    <w:rsid w:val="000762A6"/>
    <w:rsid w:val="000773BD"/>
    <w:rsid w:val="00080D25"/>
    <w:rsid w:val="0008162C"/>
    <w:rsid w:val="00082FBD"/>
    <w:rsid w:val="00084262"/>
    <w:rsid w:val="00086B32"/>
    <w:rsid w:val="0008775F"/>
    <w:rsid w:val="00091073"/>
    <w:rsid w:val="00094183"/>
    <w:rsid w:val="00094B97"/>
    <w:rsid w:val="00096808"/>
    <w:rsid w:val="000A2CB2"/>
    <w:rsid w:val="000A46C6"/>
    <w:rsid w:val="000B4D5F"/>
    <w:rsid w:val="000C3581"/>
    <w:rsid w:val="000C649D"/>
    <w:rsid w:val="000D25CF"/>
    <w:rsid w:val="000D3694"/>
    <w:rsid w:val="000D3930"/>
    <w:rsid w:val="000D7DF9"/>
    <w:rsid w:val="000E43AC"/>
    <w:rsid w:val="000E5F5A"/>
    <w:rsid w:val="000F1F44"/>
    <w:rsid w:val="000F5B78"/>
    <w:rsid w:val="000F75F5"/>
    <w:rsid w:val="00101B0F"/>
    <w:rsid w:val="00102F06"/>
    <w:rsid w:val="00103D1A"/>
    <w:rsid w:val="0011051D"/>
    <w:rsid w:val="00110C86"/>
    <w:rsid w:val="00111BE9"/>
    <w:rsid w:val="001132EE"/>
    <w:rsid w:val="00113BC7"/>
    <w:rsid w:val="00121D1D"/>
    <w:rsid w:val="00125EDF"/>
    <w:rsid w:val="001260CA"/>
    <w:rsid w:val="001306E3"/>
    <w:rsid w:val="0014220C"/>
    <w:rsid w:val="00142315"/>
    <w:rsid w:val="001545E8"/>
    <w:rsid w:val="00154E35"/>
    <w:rsid w:val="00155A44"/>
    <w:rsid w:val="00166978"/>
    <w:rsid w:val="001673E7"/>
    <w:rsid w:val="00167974"/>
    <w:rsid w:val="00167E08"/>
    <w:rsid w:val="001718A3"/>
    <w:rsid w:val="00171A88"/>
    <w:rsid w:val="00172903"/>
    <w:rsid w:val="00172EAC"/>
    <w:rsid w:val="0017352F"/>
    <w:rsid w:val="00177792"/>
    <w:rsid w:val="00177845"/>
    <w:rsid w:val="00182F4F"/>
    <w:rsid w:val="001842F4"/>
    <w:rsid w:val="00193673"/>
    <w:rsid w:val="00197043"/>
    <w:rsid w:val="00197081"/>
    <w:rsid w:val="001A0A97"/>
    <w:rsid w:val="001A280E"/>
    <w:rsid w:val="001B14C8"/>
    <w:rsid w:val="001B19F7"/>
    <w:rsid w:val="001C399C"/>
    <w:rsid w:val="001C3A68"/>
    <w:rsid w:val="001C764D"/>
    <w:rsid w:val="001D1055"/>
    <w:rsid w:val="001D450E"/>
    <w:rsid w:val="001D7A92"/>
    <w:rsid w:val="001D7DD3"/>
    <w:rsid w:val="001E0EEA"/>
    <w:rsid w:val="001E2FEF"/>
    <w:rsid w:val="001E391E"/>
    <w:rsid w:val="001E47DC"/>
    <w:rsid w:val="001F14FA"/>
    <w:rsid w:val="001F1C79"/>
    <w:rsid w:val="001F29A4"/>
    <w:rsid w:val="001F6B74"/>
    <w:rsid w:val="002023D2"/>
    <w:rsid w:val="00202527"/>
    <w:rsid w:val="002072DF"/>
    <w:rsid w:val="00207EB6"/>
    <w:rsid w:val="0022129E"/>
    <w:rsid w:val="00232AF7"/>
    <w:rsid w:val="0023309A"/>
    <w:rsid w:val="002368E4"/>
    <w:rsid w:val="00247710"/>
    <w:rsid w:val="00261A56"/>
    <w:rsid w:val="0026338C"/>
    <w:rsid w:val="00266CFA"/>
    <w:rsid w:val="00267669"/>
    <w:rsid w:val="002719FF"/>
    <w:rsid w:val="00271FF1"/>
    <w:rsid w:val="0027283D"/>
    <w:rsid w:val="00273D4E"/>
    <w:rsid w:val="00276597"/>
    <w:rsid w:val="0027765F"/>
    <w:rsid w:val="00284DA7"/>
    <w:rsid w:val="00294E3A"/>
    <w:rsid w:val="002A6B32"/>
    <w:rsid w:val="002C3694"/>
    <w:rsid w:val="002C484D"/>
    <w:rsid w:val="002D1E5D"/>
    <w:rsid w:val="002D55FF"/>
    <w:rsid w:val="002D6116"/>
    <w:rsid w:val="002F220D"/>
    <w:rsid w:val="002F3E3D"/>
    <w:rsid w:val="002F61FB"/>
    <w:rsid w:val="002F6774"/>
    <w:rsid w:val="00300F46"/>
    <w:rsid w:val="00303C56"/>
    <w:rsid w:val="003067BC"/>
    <w:rsid w:val="00306CBD"/>
    <w:rsid w:val="00314DAB"/>
    <w:rsid w:val="0032111D"/>
    <w:rsid w:val="003221C2"/>
    <w:rsid w:val="00324022"/>
    <w:rsid w:val="00324A9A"/>
    <w:rsid w:val="00327DB0"/>
    <w:rsid w:val="00333A63"/>
    <w:rsid w:val="00333E17"/>
    <w:rsid w:val="00334015"/>
    <w:rsid w:val="003361C6"/>
    <w:rsid w:val="00340031"/>
    <w:rsid w:val="0034261A"/>
    <w:rsid w:val="00345DA0"/>
    <w:rsid w:val="00347E49"/>
    <w:rsid w:val="003513FF"/>
    <w:rsid w:val="0035675A"/>
    <w:rsid w:val="00360D50"/>
    <w:rsid w:val="0036786B"/>
    <w:rsid w:val="003714F9"/>
    <w:rsid w:val="0037441D"/>
    <w:rsid w:val="0038612A"/>
    <w:rsid w:val="0039207C"/>
    <w:rsid w:val="0039247B"/>
    <w:rsid w:val="00393019"/>
    <w:rsid w:val="00393771"/>
    <w:rsid w:val="003943D6"/>
    <w:rsid w:val="00394D9C"/>
    <w:rsid w:val="003B18FB"/>
    <w:rsid w:val="003B7968"/>
    <w:rsid w:val="003C2855"/>
    <w:rsid w:val="003C4CB7"/>
    <w:rsid w:val="003D201F"/>
    <w:rsid w:val="003D3407"/>
    <w:rsid w:val="003D7FEA"/>
    <w:rsid w:val="003E2BA7"/>
    <w:rsid w:val="003F446E"/>
    <w:rsid w:val="0040022F"/>
    <w:rsid w:val="004009F5"/>
    <w:rsid w:val="0041101E"/>
    <w:rsid w:val="004120F2"/>
    <w:rsid w:val="004137F3"/>
    <w:rsid w:val="0041439B"/>
    <w:rsid w:val="0041456D"/>
    <w:rsid w:val="00414FF4"/>
    <w:rsid w:val="00415602"/>
    <w:rsid w:val="00417A79"/>
    <w:rsid w:val="00417C25"/>
    <w:rsid w:val="0042030E"/>
    <w:rsid w:val="0042044F"/>
    <w:rsid w:val="00426F8F"/>
    <w:rsid w:val="00427FA8"/>
    <w:rsid w:val="00432E6F"/>
    <w:rsid w:val="00432E72"/>
    <w:rsid w:val="00440396"/>
    <w:rsid w:val="00440EF1"/>
    <w:rsid w:val="00442648"/>
    <w:rsid w:val="0044448A"/>
    <w:rsid w:val="00450C37"/>
    <w:rsid w:val="00451792"/>
    <w:rsid w:val="00451D36"/>
    <w:rsid w:val="0045338C"/>
    <w:rsid w:val="00454B03"/>
    <w:rsid w:val="00455054"/>
    <w:rsid w:val="00460D7E"/>
    <w:rsid w:val="0047598B"/>
    <w:rsid w:val="00481FCC"/>
    <w:rsid w:val="004853EF"/>
    <w:rsid w:val="00486911"/>
    <w:rsid w:val="00490E88"/>
    <w:rsid w:val="0049562B"/>
    <w:rsid w:val="004A0D56"/>
    <w:rsid w:val="004A0DE3"/>
    <w:rsid w:val="004A2F9B"/>
    <w:rsid w:val="004A7C9A"/>
    <w:rsid w:val="004B6EDE"/>
    <w:rsid w:val="004B756D"/>
    <w:rsid w:val="004C33B9"/>
    <w:rsid w:val="004C6EA5"/>
    <w:rsid w:val="004D5780"/>
    <w:rsid w:val="004E6EF8"/>
    <w:rsid w:val="004F27A1"/>
    <w:rsid w:val="004F4E90"/>
    <w:rsid w:val="004F544B"/>
    <w:rsid w:val="00502F78"/>
    <w:rsid w:val="005058A3"/>
    <w:rsid w:val="00511965"/>
    <w:rsid w:val="005174B7"/>
    <w:rsid w:val="005368C7"/>
    <w:rsid w:val="00540835"/>
    <w:rsid w:val="005438AE"/>
    <w:rsid w:val="00545C0A"/>
    <w:rsid w:val="0054726A"/>
    <w:rsid w:val="005541D4"/>
    <w:rsid w:val="005547E2"/>
    <w:rsid w:val="00556099"/>
    <w:rsid w:val="005564D4"/>
    <w:rsid w:val="00556514"/>
    <w:rsid w:val="005643A2"/>
    <w:rsid w:val="00566AA1"/>
    <w:rsid w:val="00571084"/>
    <w:rsid w:val="005718F3"/>
    <w:rsid w:val="00571CB0"/>
    <w:rsid w:val="00574D38"/>
    <w:rsid w:val="005756EF"/>
    <w:rsid w:val="0057623B"/>
    <w:rsid w:val="0057795C"/>
    <w:rsid w:val="005866EE"/>
    <w:rsid w:val="005908EB"/>
    <w:rsid w:val="00590EB4"/>
    <w:rsid w:val="00593FC3"/>
    <w:rsid w:val="005959ED"/>
    <w:rsid w:val="005A2B73"/>
    <w:rsid w:val="005A4A4A"/>
    <w:rsid w:val="005B043C"/>
    <w:rsid w:val="005B2C04"/>
    <w:rsid w:val="005B4DD9"/>
    <w:rsid w:val="005B5784"/>
    <w:rsid w:val="005C1399"/>
    <w:rsid w:val="005C2F13"/>
    <w:rsid w:val="005E777C"/>
    <w:rsid w:val="005F302E"/>
    <w:rsid w:val="005F54C8"/>
    <w:rsid w:val="005F6BB0"/>
    <w:rsid w:val="005F6F76"/>
    <w:rsid w:val="005F7930"/>
    <w:rsid w:val="0060158F"/>
    <w:rsid w:val="00601A32"/>
    <w:rsid w:val="00604050"/>
    <w:rsid w:val="006042E9"/>
    <w:rsid w:val="00606B5A"/>
    <w:rsid w:val="006074CE"/>
    <w:rsid w:val="00612619"/>
    <w:rsid w:val="006135DC"/>
    <w:rsid w:val="00613637"/>
    <w:rsid w:val="00613828"/>
    <w:rsid w:val="006228D2"/>
    <w:rsid w:val="00624DD4"/>
    <w:rsid w:val="006338D3"/>
    <w:rsid w:val="00642DDC"/>
    <w:rsid w:val="00643685"/>
    <w:rsid w:val="00650674"/>
    <w:rsid w:val="00651A01"/>
    <w:rsid w:val="00656913"/>
    <w:rsid w:val="006627CB"/>
    <w:rsid w:val="00667D1C"/>
    <w:rsid w:val="00671E79"/>
    <w:rsid w:val="006747E0"/>
    <w:rsid w:val="006763C4"/>
    <w:rsid w:val="00682E83"/>
    <w:rsid w:val="0069184F"/>
    <w:rsid w:val="00692769"/>
    <w:rsid w:val="0069306A"/>
    <w:rsid w:val="00695B63"/>
    <w:rsid w:val="006A208D"/>
    <w:rsid w:val="006B2ABE"/>
    <w:rsid w:val="006B3C52"/>
    <w:rsid w:val="006B7994"/>
    <w:rsid w:val="006B7DC3"/>
    <w:rsid w:val="006C6F94"/>
    <w:rsid w:val="006C7F82"/>
    <w:rsid w:val="006D0312"/>
    <w:rsid w:val="006D0C23"/>
    <w:rsid w:val="006D103A"/>
    <w:rsid w:val="006D13C6"/>
    <w:rsid w:val="006D32D6"/>
    <w:rsid w:val="006D4A46"/>
    <w:rsid w:val="006D65E4"/>
    <w:rsid w:val="006D6FCB"/>
    <w:rsid w:val="006E612B"/>
    <w:rsid w:val="006E63FE"/>
    <w:rsid w:val="006E6F11"/>
    <w:rsid w:val="006E7C8D"/>
    <w:rsid w:val="006F3ECF"/>
    <w:rsid w:val="006F62D8"/>
    <w:rsid w:val="00703916"/>
    <w:rsid w:val="0070615B"/>
    <w:rsid w:val="007079B2"/>
    <w:rsid w:val="00711167"/>
    <w:rsid w:val="0071123F"/>
    <w:rsid w:val="00712C37"/>
    <w:rsid w:val="007146CB"/>
    <w:rsid w:val="00715FA8"/>
    <w:rsid w:val="0072290A"/>
    <w:rsid w:val="00723B11"/>
    <w:rsid w:val="0072442D"/>
    <w:rsid w:val="00731B9B"/>
    <w:rsid w:val="00734418"/>
    <w:rsid w:val="0073477E"/>
    <w:rsid w:val="007348B4"/>
    <w:rsid w:val="007364B5"/>
    <w:rsid w:val="00736AEB"/>
    <w:rsid w:val="00744983"/>
    <w:rsid w:val="00744C88"/>
    <w:rsid w:val="00755803"/>
    <w:rsid w:val="00756D15"/>
    <w:rsid w:val="007575BA"/>
    <w:rsid w:val="007602FF"/>
    <w:rsid w:val="007626A0"/>
    <w:rsid w:val="00762F1E"/>
    <w:rsid w:val="00765EC9"/>
    <w:rsid w:val="00770320"/>
    <w:rsid w:val="00776049"/>
    <w:rsid w:val="007765C1"/>
    <w:rsid w:val="00776729"/>
    <w:rsid w:val="00776A38"/>
    <w:rsid w:val="00777AE2"/>
    <w:rsid w:val="007860B7"/>
    <w:rsid w:val="00790294"/>
    <w:rsid w:val="0079178C"/>
    <w:rsid w:val="007A25EB"/>
    <w:rsid w:val="007A2C2F"/>
    <w:rsid w:val="007A6DDA"/>
    <w:rsid w:val="007A7B99"/>
    <w:rsid w:val="007B24A1"/>
    <w:rsid w:val="007B4F3B"/>
    <w:rsid w:val="007B59D1"/>
    <w:rsid w:val="007C5AF7"/>
    <w:rsid w:val="007C5CF8"/>
    <w:rsid w:val="007C7D91"/>
    <w:rsid w:val="007D0ED1"/>
    <w:rsid w:val="007D23C6"/>
    <w:rsid w:val="007D278C"/>
    <w:rsid w:val="007D6999"/>
    <w:rsid w:val="007E0F98"/>
    <w:rsid w:val="007E442B"/>
    <w:rsid w:val="007E73CA"/>
    <w:rsid w:val="007F02D7"/>
    <w:rsid w:val="007F0579"/>
    <w:rsid w:val="007F3FAB"/>
    <w:rsid w:val="007F4133"/>
    <w:rsid w:val="007F448B"/>
    <w:rsid w:val="00807DF8"/>
    <w:rsid w:val="00815B34"/>
    <w:rsid w:val="008177C8"/>
    <w:rsid w:val="0082199C"/>
    <w:rsid w:val="0082255C"/>
    <w:rsid w:val="00831972"/>
    <w:rsid w:val="00834C83"/>
    <w:rsid w:val="008428F1"/>
    <w:rsid w:val="00842EFC"/>
    <w:rsid w:val="00844506"/>
    <w:rsid w:val="008459D0"/>
    <w:rsid w:val="00851E04"/>
    <w:rsid w:val="00853BCA"/>
    <w:rsid w:val="008558C7"/>
    <w:rsid w:val="0085607E"/>
    <w:rsid w:val="00862591"/>
    <w:rsid w:val="00872B6C"/>
    <w:rsid w:val="00873065"/>
    <w:rsid w:val="00876030"/>
    <w:rsid w:val="008808CB"/>
    <w:rsid w:val="00882A19"/>
    <w:rsid w:val="00882C01"/>
    <w:rsid w:val="008831DC"/>
    <w:rsid w:val="0088339D"/>
    <w:rsid w:val="008860D8"/>
    <w:rsid w:val="00891280"/>
    <w:rsid w:val="00892429"/>
    <w:rsid w:val="008949C6"/>
    <w:rsid w:val="00895ADF"/>
    <w:rsid w:val="008A3A0C"/>
    <w:rsid w:val="008A487B"/>
    <w:rsid w:val="008A7020"/>
    <w:rsid w:val="008B2D42"/>
    <w:rsid w:val="008B2E33"/>
    <w:rsid w:val="008B4251"/>
    <w:rsid w:val="008B49E6"/>
    <w:rsid w:val="008B6C2A"/>
    <w:rsid w:val="008C0B52"/>
    <w:rsid w:val="008C1FFB"/>
    <w:rsid w:val="008C5C2E"/>
    <w:rsid w:val="008E4EBC"/>
    <w:rsid w:val="008E61CE"/>
    <w:rsid w:val="008F0F7E"/>
    <w:rsid w:val="008F1B90"/>
    <w:rsid w:val="00902F97"/>
    <w:rsid w:val="00904884"/>
    <w:rsid w:val="00910F27"/>
    <w:rsid w:val="00914313"/>
    <w:rsid w:val="00915016"/>
    <w:rsid w:val="009275A0"/>
    <w:rsid w:val="0093016C"/>
    <w:rsid w:val="00930953"/>
    <w:rsid w:val="00933167"/>
    <w:rsid w:val="00934CB5"/>
    <w:rsid w:val="009409F9"/>
    <w:rsid w:val="00941997"/>
    <w:rsid w:val="00941EA9"/>
    <w:rsid w:val="00942124"/>
    <w:rsid w:val="00943B14"/>
    <w:rsid w:val="00952A6C"/>
    <w:rsid w:val="0095451F"/>
    <w:rsid w:val="00954DB6"/>
    <w:rsid w:val="00956B86"/>
    <w:rsid w:val="00960256"/>
    <w:rsid w:val="00963220"/>
    <w:rsid w:val="00965319"/>
    <w:rsid w:val="00970AC7"/>
    <w:rsid w:val="00971765"/>
    <w:rsid w:val="00974096"/>
    <w:rsid w:val="00976EEC"/>
    <w:rsid w:val="00981F98"/>
    <w:rsid w:val="00982BB8"/>
    <w:rsid w:val="009847A3"/>
    <w:rsid w:val="00991658"/>
    <w:rsid w:val="00993315"/>
    <w:rsid w:val="0099532B"/>
    <w:rsid w:val="00995AEA"/>
    <w:rsid w:val="009960A6"/>
    <w:rsid w:val="00996E35"/>
    <w:rsid w:val="009A15E2"/>
    <w:rsid w:val="009A1A5F"/>
    <w:rsid w:val="009A1FD8"/>
    <w:rsid w:val="009B1E2B"/>
    <w:rsid w:val="009B5F04"/>
    <w:rsid w:val="009C03D1"/>
    <w:rsid w:val="009C61DF"/>
    <w:rsid w:val="009C6A85"/>
    <w:rsid w:val="009C7DFE"/>
    <w:rsid w:val="009D1018"/>
    <w:rsid w:val="009E3A8E"/>
    <w:rsid w:val="009E3D18"/>
    <w:rsid w:val="009E535C"/>
    <w:rsid w:val="009F501D"/>
    <w:rsid w:val="00A000A5"/>
    <w:rsid w:val="00A030F0"/>
    <w:rsid w:val="00A051E1"/>
    <w:rsid w:val="00A054A4"/>
    <w:rsid w:val="00A05649"/>
    <w:rsid w:val="00A06395"/>
    <w:rsid w:val="00A12A0F"/>
    <w:rsid w:val="00A1398D"/>
    <w:rsid w:val="00A13BE0"/>
    <w:rsid w:val="00A210FC"/>
    <w:rsid w:val="00A303BB"/>
    <w:rsid w:val="00A32AD2"/>
    <w:rsid w:val="00A371CF"/>
    <w:rsid w:val="00A41D87"/>
    <w:rsid w:val="00A44B7C"/>
    <w:rsid w:val="00A477E5"/>
    <w:rsid w:val="00A54AD4"/>
    <w:rsid w:val="00A557FF"/>
    <w:rsid w:val="00A61053"/>
    <w:rsid w:val="00A61861"/>
    <w:rsid w:val="00A61C0E"/>
    <w:rsid w:val="00A70995"/>
    <w:rsid w:val="00A71723"/>
    <w:rsid w:val="00A727DE"/>
    <w:rsid w:val="00A734E5"/>
    <w:rsid w:val="00A8259B"/>
    <w:rsid w:val="00A9069B"/>
    <w:rsid w:val="00A908A0"/>
    <w:rsid w:val="00AA3097"/>
    <w:rsid w:val="00AB15A7"/>
    <w:rsid w:val="00AB4132"/>
    <w:rsid w:val="00AB6346"/>
    <w:rsid w:val="00AB7EE9"/>
    <w:rsid w:val="00AC4E0E"/>
    <w:rsid w:val="00AD1B05"/>
    <w:rsid w:val="00AD4C39"/>
    <w:rsid w:val="00AD78AF"/>
    <w:rsid w:val="00AE1000"/>
    <w:rsid w:val="00AE161A"/>
    <w:rsid w:val="00AE68FB"/>
    <w:rsid w:val="00AE6C71"/>
    <w:rsid w:val="00AF2C0A"/>
    <w:rsid w:val="00B05B38"/>
    <w:rsid w:val="00B06014"/>
    <w:rsid w:val="00B1119D"/>
    <w:rsid w:val="00B123C7"/>
    <w:rsid w:val="00B13E27"/>
    <w:rsid w:val="00B144D2"/>
    <w:rsid w:val="00B16CBB"/>
    <w:rsid w:val="00B224B3"/>
    <w:rsid w:val="00B26522"/>
    <w:rsid w:val="00B336BF"/>
    <w:rsid w:val="00B35EFF"/>
    <w:rsid w:val="00B42EF7"/>
    <w:rsid w:val="00B5677F"/>
    <w:rsid w:val="00B601B1"/>
    <w:rsid w:val="00B63A6E"/>
    <w:rsid w:val="00B63F5C"/>
    <w:rsid w:val="00B67CC8"/>
    <w:rsid w:val="00B705B2"/>
    <w:rsid w:val="00B71CDD"/>
    <w:rsid w:val="00B743B4"/>
    <w:rsid w:val="00B77603"/>
    <w:rsid w:val="00B84568"/>
    <w:rsid w:val="00B936B9"/>
    <w:rsid w:val="00B943DE"/>
    <w:rsid w:val="00B958DC"/>
    <w:rsid w:val="00BA404F"/>
    <w:rsid w:val="00BA6303"/>
    <w:rsid w:val="00BB2020"/>
    <w:rsid w:val="00BC01AF"/>
    <w:rsid w:val="00BC2F12"/>
    <w:rsid w:val="00BC2FAB"/>
    <w:rsid w:val="00BD044C"/>
    <w:rsid w:val="00BD415B"/>
    <w:rsid w:val="00BF2E7F"/>
    <w:rsid w:val="00BF3041"/>
    <w:rsid w:val="00BF4719"/>
    <w:rsid w:val="00C014F1"/>
    <w:rsid w:val="00C060B1"/>
    <w:rsid w:val="00C106E4"/>
    <w:rsid w:val="00C179AF"/>
    <w:rsid w:val="00C208FC"/>
    <w:rsid w:val="00C24E09"/>
    <w:rsid w:val="00C25BEB"/>
    <w:rsid w:val="00C3035A"/>
    <w:rsid w:val="00C3105D"/>
    <w:rsid w:val="00C31D2F"/>
    <w:rsid w:val="00C3611D"/>
    <w:rsid w:val="00C40DA3"/>
    <w:rsid w:val="00C4281C"/>
    <w:rsid w:val="00C46989"/>
    <w:rsid w:val="00C53B0F"/>
    <w:rsid w:val="00C53B3B"/>
    <w:rsid w:val="00C53E8E"/>
    <w:rsid w:val="00C55252"/>
    <w:rsid w:val="00C6050B"/>
    <w:rsid w:val="00C609D5"/>
    <w:rsid w:val="00C63946"/>
    <w:rsid w:val="00C64B94"/>
    <w:rsid w:val="00C6597B"/>
    <w:rsid w:val="00C7530C"/>
    <w:rsid w:val="00C7632C"/>
    <w:rsid w:val="00C772FE"/>
    <w:rsid w:val="00C81B43"/>
    <w:rsid w:val="00C823A3"/>
    <w:rsid w:val="00C82999"/>
    <w:rsid w:val="00C83DDA"/>
    <w:rsid w:val="00C85891"/>
    <w:rsid w:val="00C85B24"/>
    <w:rsid w:val="00C87F49"/>
    <w:rsid w:val="00C9009E"/>
    <w:rsid w:val="00C909C8"/>
    <w:rsid w:val="00C929CA"/>
    <w:rsid w:val="00C93F3E"/>
    <w:rsid w:val="00C957F6"/>
    <w:rsid w:val="00C96776"/>
    <w:rsid w:val="00CA1A33"/>
    <w:rsid w:val="00CA2EF7"/>
    <w:rsid w:val="00CA414A"/>
    <w:rsid w:val="00CA53F1"/>
    <w:rsid w:val="00CB11AE"/>
    <w:rsid w:val="00CB2444"/>
    <w:rsid w:val="00CB304E"/>
    <w:rsid w:val="00CC2B9A"/>
    <w:rsid w:val="00CC5845"/>
    <w:rsid w:val="00CC786F"/>
    <w:rsid w:val="00CD0AC2"/>
    <w:rsid w:val="00CD4E64"/>
    <w:rsid w:val="00CD58BE"/>
    <w:rsid w:val="00CE4B63"/>
    <w:rsid w:val="00CE4CEC"/>
    <w:rsid w:val="00CE61A6"/>
    <w:rsid w:val="00CE63BB"/>
    <w:rsid w:val="00CE66CB"/>
    <w:rsid w:val="00CF2016"/>
    <w:rsid w:val="00D0091C"/>
    <w:rsid w:val="00D00941"/>
    <w:rsid w:val="00D038A0"/>
    <w:rsid w:val="00D0652B"/>
    <w:rsid w:val="00D1202C"/>
    <w:rsid w:val="00D223F3"/>
    <w:rsid w:val="00D22570"/>
    <w:rsid w:val="00D23004"/>
    <w:rsid w:val="00D235C8"/>
    <w:rsid w:val="00D271E5"/>
    <w:rsid w:val="00D30280"/>
    <w:rsid w:val="00D30F41"/>
    <w:rsid w:val="00D314A6"/>
    <w:rsid w:val="00D3501A"/>
    <w:rsid w:val="00D35C07"/>
    <w:rsid w:val="00D372A5"/>
    <w:rsid w:val="00D37EC7"/>
    <w:rsid w:val="00D426E3"/>
    <w:rsid w:val="00D42AD5"/>
    <w:rsid w:val="00D42DB7"/>
    <w:rsid w:val="00D506FC"/>
    <w:rsid w:val="00D50A40"/>
    <w:rsid w:val="00D5398A"/>
    <w:rsid w:val="00D55837"/>
    <w:rsid w:val="00D640FC"/>
    <w:rsid w:val="00D703FE"/>
    <w:rsid w:val="00D762A7"/>
    <w:rsid w:val="00D77CBD"/>
    <w:rsid w:val="00D90CEF"/>
    <w:rsid w:val="00D91E0F"/>
    <w:rsid w:val="00D92601"/>
    <w:rsid w:val="00DA47D4"/>
    <w:rsid w:val="00DA61BD"/>
    <w:rsid w:val="00DA6612"/>
    <w:rsid w:val="00DA69EE"/>
    <w:rsid w:val="00DB227A"/>
    <w:rsid w:val="00DC3A43"/>
    <w:rsid w:val="00DC4CBE"/>
    <w:rsid w:val="00DD0FE2"/>
    <w:rsid w:val="00DD37E5"/>
    <w:rsid w:val="00DD3C96"/>
    <w:rsid w:val="00DD3DF3"/>
    <w:rsid w:val="00DD40B8"/>
    <w:rsid w:val="00DD5B3E"/>
    <w:rsid w:val="00DD6A00"/>
    <w:rsid w:val="00DD70B7"/>
    <w:rsid w:val="00DE2416"/>
    <w:rsid w:val="00DE2650"/>
    <w:rsid w:val="00DE6C37"/>
    <w:rsid w:val="00DF0A2C"/>
    <w:rsid w:val="00DF10A7"/>
    <w:rsid w:val="00DF1C42"/>
    <w:rsid w:val="00DF7246"/>
    <w:rsid w:val="00DF7395"/>
    <w:rsid w:val="00DF7920"/>
    <w:rsid w:val="00E01970"/>
    <w:rsid w:val="00E03D41"/>
    <w:rsid w:val="00E13369"/>
    <w:rsid w:val="00E17766"/>
    <w:rsid w:val="00E27F56"/>
    <w:rsid w:val="00E3083D"/>
    <w:rsid w:val="00E31285"/>
    <w:rsid w:val="00E33168"/>
    <w:rsid w:val="00E3545A"/>
    <w:rsid w:val="00E35CB9"/>
    <w:rsid w:val="00E40968"/>
    <w:rsid w:val="00E41B85"/>
    <w:rsid w:val="00E42057"/>
    <w:rsid w:val="00E453A8"/>
    <w:rsid w:val="00E45D9D"/>
    <w:rsid w:val="00E5716A"/>
    <w:rsid w:val="00E630C8"/>
    <w:rsid w:val="00E65C4F"/>
    <w:rsid w:val="00E67C76"/>
    <w:rsid w:val="00E70D3D"/>
    <w:rsid w:val="00E713A4"/>
    <w:rsid w:val="00E71403"/>
    <w:rsid w:val="00E72259"/>
    <w:rsid w:val="00E72FF2"/>
    <w:rsid w:val="00E7313C"/>
    <w:rsid w:val="00E761E9"/>
    <w:rsid w:val="00E77139"/>
    <w:rsid w:val="00E8002B"/>
    <w:rsid w:val="00E80CF2"/>
    <w:rsid w:val="00E84993"/>
    <w:rsid w:val="00E86A79"/>
    <w:rsid w:val="00E87DF1"/>
    <w:rsid w:val="00E91D2B"/>
    <w:rsid w:val="00E91E03"/>
    <w:rsid w:val="00E937CE"/>
    <w:rsid w:val="00E94D6F"/>
    <w:rsid w:val="00E94E00"/>
    <w:rsid w:val="00EA039B"/>
    <w:rsid w:val="00EA0CE9"/>
    <w:rsid w:val="00EA2C0C"/>
    <w:rsid w:val="00EA4F1C"/>
    <w:rsid w:val="00EA7253"/>
    <w:rsid w:val="00EB7F61"/>
    <w:rsid w:val="00ED1847"/>
    <w:rsid w:val="00ED3F42"/>
    <w:rsid w:val="00EE0433"/>
    <w:rsid w:val="00EE1BF4"/>
    <w:rsid w:val="00EE5DDD"/>
    <w:rsid w:val="00F03675"/>
    <w:rsid w:val="00F109C0"/>
    <w:rsid w:val="00F14787"/>
    <w:rsid w:val="00F16D31"/>
    <w:rsid w:val="00F17686"/>
    <w:rsid w:val="00F256C5"/>
    <w:rsid w:val="00F26CB6"/>
    <w:rsid w:val="00F3337D"/>
    <w:rsid w:val="00F34D07"/>
    <w:rsid w:val="00F34E4C"/>
    <w:rsid w:val="00F36549"/>
    <w:rsid w:val="00F371B5"/>
    <w:rsid w:val="00F41705"/>
    <w:rsid w:val="00F515CE"/>
    <w:rsid w:val="00F52542"/>
    <w:rsid w:val="00F538CB"/>
    <w:rsid w:val="00F55D80"/>
    <w:rsid w:val="00F5688B"/>
    <w:rsid w:val="00F60734"/>
    <w:rsid w:val="00F73EC9"/>
    <w:rsid w:val="00F75580"/>
    <w:rsid w:val="00F76F0B"/>
    <w:rsid w:val="00F803D6"/>
    <w:rsid w:val="00F8189C"/>
    <w:rsid w:val="00F9203D"/>
    <w:rsid w:val="00F92A3D"/>
    <w:rsid w:val="00F9355B"/>
    <w:rsid w:val="00F94C19"/>
    <w:rsid w:val="00F96561"/>
    <w:rsid w:val="00F970D1"/>
    <w:rsid w:val="00FA01B6"/>
    <w:rsid w:val="00FA4279"/>
    <w:rsid w:val="00FB0DE5"/>
    <w:rsid w:val="00FB4C55"/>
    <w:rsid w:val="00FB6619"/>
    <w:rsid w:val="00FC169E"/>
    <w:rsid w:val="00FC6C2C"/>
    <w:rsid w:val="00FC7246"/>
    <w:rsid w:val="00FD354C"/>
    <w:rsid w:val="00FD3CDA"/>
    <w:rsid w:val="00FD46F6"/>
    <w:rsid w:val="00FE1762"/>
    <w:rsid w:val="00FE3BEB"/>
    <w:rsid w:val="00FF1023"/>
    <w:rsid w:val="00FF4956"/>
    <w:rsid w:val="00FF5702"/>
    <w:rsid w:val="01D566D2"/>
    <w:rsid w:val="069E07AC"/>
    <w:rsid w:val="13C061AF"/>
    <w:rsid w:val="14A007B4"/>
    <w:rsid w:val="16300DDB"/>
    <w:rsid w:val="1A8B2833"/>
    <w:rsid w:val="1B4729A9"/>
    <w:rsid w:val="1B515FA0"/>
    <w:rsid w:val="1B5E7455"/>
    <w:rsid w:val="1D9A7BA2"/>
    <w:rsid w:val="1D9C6180"/>
    <w:rsid w:val="1E0B2E42"/>
    <w:rsid w:val="24C25A2B"/>
    <w:rsid w:val="24C5715F"/>
    <w:rsid w:val="2CD30B30"/>
    <w:rsid w:val="2E586260"/>
    <w:rsid w:val="2EFD008C"/>
    <w:rsid w:val="2F4A28EA"/>
    <w:rsid w:val="3295171E"/>
    <w:rsid w:val="35436994"/>
    <w:rsid w:val="37042298"/>
    <w:rsid w:val="370C0ADF"/>
    <w:rsid w:val="3E091DE7"/>
    <w:rsid w:val="41EC670C"/>
    <w:rsid w:val="424F7D8F"/>
    <w:rsid w:val="42964A43"/>
    <w:rsid w:val="42B07218"/>
    <w:rsid w:val="42DF0A26"/>
    <w:rsid w:val="43476085"/>
    <w:rsid w:val="4413387D"/>
    <w:rsid w:val="45257F6C"/>
    <w:rsid w:val="46085DC1"/>
    <w:rsid w:val="4A2D19BE"/>
    <w:rsid w:val="4C22487C"/>
    <w:rsid w:val="4CAC1F43"/>
    <w:rsid w:val="4CAE676A"/>
    <w:rsid w:val="4F9A09BD"/>
    <w:rsid w:val="4FD63820"/>
    <w:rsid w:val="51CB3718"/>
    <w:rsid w:val="536E7B8C"/>
    <w:rsid w:val="550704D3"/>
    <w:rsid w:val="62AA171A"/>
    <w:rsid w:val="641D0C51"/>
    <w:rsid w:val="65FB3976"/>
    <w:rsid w:val="693D29CD"/>
    <w:rsid w:val="6F0E6756"/>
    <w:rsid w:val="70A16213"/>
    <w:rsid w:val="735E534E"/>
    <w:rsid w:val="73DA6ECA"/>
    <w:rsid w:val="756141E1"/>
    <w:rsid w:val="77B447F0"/>
    <w:rsid w:val="77C16711"/>
    <w:rsid w:val="790D7A83"/>
    <w:rsid w:val="7A8916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link w:val="27"/>
    <w:qFormat/>
    <w:uiPriority w:val="0"/>
    <w:pPr>
      <w:keepNext/>
      <w:jc w:val="center"/>
      <w:outlineLvl w:val="0"/>
    </w:pPr>
    <w:rPr>
      <w:rFonts w:ascii="黑体" w:hAnsi="Times New Roman" w:eastAsia="宋体" w:cs="Times New Roman"/>
      <w:b/>
      <w:kern w:val="2"/>
      <w:sz w:val="32"/>
      <w:szCs w:val="24"/>
      <w:lang w:val="en-US" w:eastAsia="zh-CN" w:bidi="ar-SA"/>
    </w:rPr>
  </w:style>
  <w:style w:type="paragraph" w:styleId="3">
    <w:name w:val="heading 2"/>
    <w:basedOn w:val="1"/>
    <w:next w:val="1"/>
    <w:link w:val="28"/>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link w:val="29"/>
    <w:qFormat/>
    <w:uiPriority w:val="0"/>
    <w:pPr>
      <w:keepNext/>
      <w:keepLines/>
      <w:spacing w:before="260" w:after="260" w:line="415" w:lineRule="auto"/>
      <w:outlineLvl w:val="2"/>
    </w:pPr>
    <w:rPr>
      <w:b/>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55"/>
    <w:qFormat/>
    <w:uiPriority w:val="99"/>
    <w:pPr>
      <w:autoSpaceDE w:val="0"/>
      <w:autoSpaceDN w:val="0"/>
      <w:adjustRightInd w:val="0"/>
      <w:ind w:firstLine="420"/>
    </w:pPr>
    <w:rPr>
      <w:rFonts w:ascii="宋体"/>
      <w:sz w:val="24"/>
    </w:rPr>
  </w:style>
  <w:style w:type="paragraph" w:styleId="6">
    <w:name w:val="Document Map"/>
    <w:basedOn w:val="1"/>
    <w:link w:val="36"/>
    <w:unhideWhenUsed/>
    <w:qFormat/>
    <w:uiPriority w:val="99"/>
    <w:rPr>
      <w:rFonts w:ascii="宋体" w:hAnsiTheme="minorHAnsi" w:cstheme="minorBidi"/>
      <w:sz w:val="18"/>
      <w:szCs w:val="18"/>
    </w:rPr>
  </w:style>
  <w:style w:type="paragraph" w:styleId="7">
    <w:name w:val="annotation text"/>
    <w:basedOn w:val="1"/>
    <w:link w:val="37"/>
    <w:unhideWhenUsed/>
    <w:qFormat/>
    <w:uiPriority w:val="0"/>
    <w:pPr>
      <w:jc w:val="left"/>
    </w:pPr>
  </w:style>
  <w:style w:type="paragraph" w:styleId="8">
    <w:name w:val="Body Text"/>
    <w:next w:val="1"/>
    <w:link w:val="39"/>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9">
    <w:name w:val="Body Text Indent"/>
    <w:next w:val="1"/>
    <w:link w:val="40"/>
    <w:qFormat/>
    <w:uiPriority w:val="0"/>
    <w:pPr>
      <w:widowControl w:val="0"/>
      <w:spacing w:line="440" w:lineRule="exact"/>
      <w:ind w:firstLine="196" w:firstLineChars="196"/>
      <w:jc w:val="both"/>
    </w:pPr>
    <w:rPr>
      <w:rFonts w:ascii="宋体" w:hAnsi="Times New Roman" w:eastAsia="宋体" w:cs="Century"/>
      <w:spacing w:val="2"/>
      <w:kern w:val="2"/>
      <w:sz w:val="21"/>
      <w:szCs w:val="24"/>
      <w:lang w:val="en-US" w:eastAsia="zh-CN" w:bidi="ar-SA"/>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5"/>
    <w:link w:val="41"/>
    <w:qFormat/>
    <w:uiPriority w:val="99"/>
    <w:rPr>
      <w:rFonts w:ascii="宋体" w:hAnsi="宋体" w:eastAsiaTheme="minorEastAsia" w:cstheme="minorBidi"/>
      <w:sz w:val="26"/>
      <w:szCs w:val="22"/>
    </w:rPr>
  </w:style>
  <w:style w:type="paragraph" w:styleId="12">
    <w:name w:val="Date"/>
    <w:next w:val="1"/>
    <w:link w:val="42"/>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3"/>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4"/>
    <w:unhideWhenUsed/>
    <w:qFormat/>
    <w:uiPriority w:val="99"/>
    <w:rPr>
      <w:rFonts w:asciiTheme="minorHAnsi" w:hAnsiTheme="minorHAnsi" w:cstheme="minorBidi"/>
      <w:sz w:val="18"/>
      <w:szCs w:val="18"/>
    </w:rPr>
  </w:style>
  <w:style w:type="paragraph" w:styleId="15">
    <w:name w:val="footer"/>
    <w:basedOn w:val="1"/>
    <w:link w:val="45"/>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6"/>
    <w:qFormat/>
    <w:uiPriority w:val="0"/>
    <w:pPr>
      <w:pBdr>
        <w:bottom w:val="single" w:color="auto" w:sz="6" w:space="1"/>
      </w:pBdr>
      <w:tabs>
        <w:tab w:val="center" w:pos="4153"/>
        <w:tab w:val="right" w:pos="8307"/>
      </w:tabs>
      <w:snapToGrid w:val="0"/>
      <w:jc w:val="center"/>
    </w:pPr>
    <w:rPr>
      <w:sz w:val="18"/>
    </w:rPr>
  </w:style>
  <w:style w:type="paragraph" w:styleId="17">
    <w:name w:val="toc 1"/>
    <w:basedOn w:val="1"/>
    <w:next w:val="1"/>
    <w:unhideWhenUsed/>
    <w:qFormat/>
    <w:uiPriority w:val="39"/>
    <w:pPr>
      <w:tabs>
        <w:tab w:val="right" w:leader="dot" w:pos="8296"/>
      </w:tabs>
      <w:spacing w:line="720" w:lineRule="auto"/>
    </w:pPr>
  </w:style>
  <w:style w:type="paragraph" w:styleId="18">
    <w:name w:val="toc 4"/>
    <w:basedOn w:val="1"/>
    <w:next w:val="1"/>
    <w:qFormat/>
    <w:uiPriority w:val="0"/>
    <w:pPr>
      <w:ind w:left="1260"/>
    </w:pPr>
  </w:style>
  <w:style w:type="paragraph" w:styleId="19">
    <w:name w:val="Normal (Web)"/>
    <w:basedOn w:val="1"/>
    <w:qFormat/>
    <w:uiPriority w:val="0"/>
    <w:pPr>
      <w:spacing w:before="100" w:beforeAutospacing="1" w:after="100" w:afterAutospacing="1"/>
      <w:jc w:val="left"/>
    </w:pPr>
    <w:rPr>
      <w:rFonts w:ascii="Calibri" w:hAnsi="Calibri"/>
      <w:kern w:val="0"/>
      <w:sz w:val="24"/>
      <w:szCs w:val="24"/>
    </w:rPr>
  </w:style>
  <w:style w:type="paragraph" w:styleId="20">
    <w:name w:val="annotation subject"/>
    <w:basedOn w:val="7"/>
    <w:next w:val="7"/>
    <w:link w:val="38"/>
    <w:unhideWhenUsed/>
    <w:qFormat/>
    <w:uiPriority w:val="99"/>
    <w:rPr>
      <w:rFonts w:asciiTheme="minorHAnsi" w:hAnsiTheme="minorHAnsi" w:cstheme="minorBidi"/>
      <w:b/>
      <w:bCs/>
      <w:szCs w:val="22"/>
    </w:rPr>
  </w:style>
  <w:style w:type="table" w:styleId="22">
    <w:name w:val="Table Grid"/>
    <w:basedOn w:val="21"/>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style>
  <w:style w:type="character" w:styleId="25">
    <w:name w:val="Hyperlink"/>
    <w:qFormat/>
    <w:uiPriority w:val="99"/>
    <w:rPr>
      <w:color w:val="0000FF"/>
      <w:u w:val="single"/>
    </w:rPr>
  </w:style>
  <w:style w:type="character" w:styleId="26">
    <w:name w:val="annotation reference"/>
    <w:unhideWhenUsed/>
    <w:qFormat/>
    <w:uiPriority w:val="0"/>
    <w:rPr>
      <w:sz w:val="21"/>
      <w:szCs w:val="21"/>
    </w:rPr>
  </w:style>
  <w:style w:type="character" w:customStyle="1" w:styleId="27">
    <w:name w:val="标题 1 Char"/>
    <w:basedOn w:val="23"/>
    <w:link w:val="2"/>
    <w:qFormat/>
    <w:uiPriority w:val="0"/>
    <w:rPr>
      <w:rFonts w:ascii="黑体" w:hAnsi="Times New Roman" w:eastAsia="宋体" w:cs="Times New Roman"/>
      <w:b/>
      <w:kern w:val="2"/>
      <w:sz w:val="32"/>
      <w:szCs w:val="24"/>
    </w:rPr>
  </w:style>
  <w:style w:type="character" w:customStyle="1" w:styleId="28">
    <w:name w:val="标题 2 Char"/>
    <w:basedOn w:val="23"/>
    <w:link w:val="3"/>
    <w:qFormat/>
    <w:uiPriority w:val="0"/>
    <w:rPr>
      <w:rFonts w:ascii="Arial" w:hAnsi="Arial" w:eastAsia="黑体" w:cs="Times New Roman"/>
      <w:b/>
      <w:sz w:val="32"/>
      <w:szCs w:val="20"/>
    </w:rPr>
  </w:style>
  <w:style w:type="character" w:customStyle="1" w:styleId="29">
    <w:name w:val="标题 3 Char"/>
    <w:basedOn w:val="23"/>
    <w:link w:val="4"/>
    <w:qFormat/>
    <w:uiPriority w:val="0"/>
    <w:rPr>
      <w:rFonts w:ascii="Times New Roman" w:hAnsi="Times New Roman" w:eastAsia="宋体" w:cs="Times New Roman"/>
      <w:b/>
      <w:sz w:val="32"/>
      <w:szCs w:val="20"/>
    </w:rPr>
  </w:style>
  <w:style w:type="character" w:customStyle="1" w:styleId="30">
    <w:name w:val="批注框文本 Char"/>
    <w:qFormat/>
    <w:uiPriority w:val="99"/>
    <w:rPr>
      <w:rFonts w:eastAsia="宋体"/>
      <w:sz w:val="18"/>
      <w:szCs w:val="18"/>
    </w:rPr>
  </w:style>
  <w:style w:type="character" w:customStyle="1" w:styleId="31">
    <w:name w:val="批注主题 Char"/>
    <w:qFormat/>
    <w:uiPriority w:val="99"/>
    <w:rPr>
      <w:rFonts w:eastAsia="宋体"/>
      <w:b/>
      <w:bCs/>
    </w:rPr>
  </w:style>
  <w:style w:type="character" w:customStyle="1" w:styleId="32">
    <w:name w:val="文档结构图 Char"/>
    <w:qFormat/>
    <w:uiPriority w:val="99"/>
    <w:rPr>
      <w:rFonts w:ascii="宋体" w:eastAsia="宋体"/>
      <w:sz w:val="18"/>
      <w:szCs w:val="18"/>
    </w:rPr>
  </w:style>
  <w:style w:type="character" w:customStyle="1" w:styleId="33">
    <w:name w:val="批注文字 Char"/>
    <w:semiHidden/>
    <w:qFormat/>
    <w:uiPriority w:val="99"/>
    <w:rPr>
      <w:rFonts w:eastAsia="宋体"/>
      <w:kern w:val="2"/>
      <w:sz w:val="21"/>
    </w:rPr>
  </w:style>
  <w:style w:type="character" w:customStyle="1" w:styleId="34">
    <w:name w:val="页脚 Char"/>
    <w:qFormat/>
    <w:uiPriority w:val="0"/>
    <w:rPr>
      <w:rFonts w:eastAsia="宋体"/>
      <w:sz w:val="18"/>
    </w:rPr>
  </w:style>
  <w:style w:type="character" w:customStyle="1" w:styleId="35">
    <w:name w:val="纯文本 Char"/>
    <w:qFormat/>
    <w:uiPriority w:val="0"/>
    <w:rPr>
      <w:rFonts w:ascii="宋体" w:hAnsi="宋体"/>
      <w:sz w:val="26"/>
    </w:rPr>
  </w:style>
  <w:style w:type="character" w:customStyle="1" w:styleId="36">
    <w:name w:val="文档结构图 Char1"/>
    <w:basedOn w:val="23"/>
    <w:link w:val="6"/>
    <w:semiHidden/>
    <w:qFormat/>
    <w:uiPriority w:val="99"/>
    <w:rPr>
      <w:rFonts w:ascii="宋体" w:hAnsi="Times New Roman" w:eastAsia="宋体" w:cs="Times New Roman"/>
      <w:sz w:val="18"/>
      <w:szCs w:val="18"/>
    </w:rPr>
  </w:style>
  <w:style w:type="character" w:customStyle="1" w:styleId="37">
    <w:name w:val="批注文字 Char1"/>
    <w:basedOn w:val="23"/>
    <w:link w:val="7"/>
    <w:qFormat/>
    <w:uiPriority w:val="99"/>
    <w:rPr>
      <w:rFonts w:ascii="Times New Roman" w:hAnsi="Times New Roman" w:eastAsia="宋体" w:cs="Times New Roman"/>
      <w:szCs w:val="20"/>
    </w:rPr>
  </w:style>
  <w:style w:type="character" w:customStyle="1" w:styleId="38">
    <w:name w:val="批注主题 Char1"/>
    <w:basedOn w:val="37"/>
    <w:link w:val="20"/>
    <w:semiHidden/>
    <w:qFormat/>
    <w:uiPriority w:val="99"/>
    <w:rPr>
      <w:rFonts w:ascii="Times New Roman" w:hAnsi="Times New Roman" w:eastAsia="宋体" w:cs="Times New Roman"/>
      <w:b/>
      <w:bCs/>
      <w:szCs w:val="20"/>
    </w:rPr>
  </w:style>
  <w:style w:type="character" w:customStyle="1" w:styleId="39">
    <w:name w:val="正文文本 Char"/>
    <w:basedOn w:val="23"/>
    <w:link w:val="8"/>
    <w:qFormat/>
    <w:uiPriority w:val="0"/>
    <w:rPr>
      <w:rFonts w:ascii="Times New Roman" w:hAnsi="Times New Roman" w:eastAsia="宋体" w:cs="Times New Roman"/>
      <w:szCs w:val="24"/>
    </w:rPr>
  </w:style>
  <w:style w:type="character" w:customStyle="1" w:styleId="40">
    <w:name w:val="正文文本缩进 Char"/>
    <w:basedOn w:val="23"/>
    <w:link w:val="9"/>
    <w:qFormat/>
    <w:uiPriority w:val="0"/>
    <w:rPr>
      <w:rFonts w:ascii="宋体" w:hAnsi="Times New Roman" w:eastAsia="宋体" w:cs="Century"/>
      <w:spacing w:val="2"/>
      <w:szCs w:val="24"/>
    </w:rPr>
  </w:style>
  <w:style w:type="character" w:customStyle="1" w:styleId="41">
    <w:name w:val="纯文本 Char1"/>
    <w:basedOn w:val="23"/>
    <w:link w:val="11"/>
    <w:qFormat/>
    <w:uiPriority w:val="99"/>
    <w:rPr>
      <w:rFonts w:ascii="宋体" w:hAnsi="Courier New" w:eastAsia="宋体" w:cs="Courier New"/>
      <w:szCs w:val="21"/>
    </w:rPr>
  </w:style>
  <w:style w:type="character" w:customStyle="1" w:styleId="42">
    <w:name w:val="日期 Char"/>
    <w:basedOn w:val="23"/>
    <w:link w:val="12"/>
    <w:qFormat/>
    <w:uiPriority w:val="0"/>
    <w:rPr>
      <w:rFonts w:ascii="宋体" w:hAnsi="宋体" w:eastAsia="宋体" w:cs="Times New Roman"/>
      <w:sz w:val="24"/>
      <w:szCs w:val="20"/>
    </w:rPr>
  </w:style>
  <w:style w:type="character" w:customStyle="1" w:styleId="43">
    <w:name w:val="正文文本缩进 2 Char"/>
    <w:basedOn w:val="23"/>
    <w:link w:val="13"/>
    <w:qFormat/>
    <w:uiPriority w:val="0"/>
    <w:rPr>
      <w:rFonts w:ascii="Times New Roman" w:hAnsi="Times New Roman" w:eastAsia="宋体" w:cs="Times New Roman"/>
      <w:szCs w:val="24"/>
    </w:rPr>
  </w:style>
  <w:style w:type="character" w:customStyle="1" w:styleId="44">
    <w:name w:val="批注框文本 Char1"/>
    <w:basedOn w:val="23"/>
    <w:link w:val="14"/>
    <w:semiHidden/>
    <w:qFormat/>
    <w:uiPriority w:val="99"/>
    <w:rPr>
      <w:rFonts w:ascii="Times New Roman" w:hAnsi="Times New Roman" w:eastAsia="宋体" w:cs="Times New Roman"/>
      <w:sz w:val="18"/>
      <w:szCs w:val="18"/>
    </w:rPr>
  </w:style>
  <w:style w:type="character" w:customStyle="1" w:styleId="45">
    <w:name w:val="页脚 Char1"/>
    <w:basedOn w:val="23"/>
    <w:link w:val="15"/>
    <w:semiHidden/>
    <w:qFormat/>
    <w:uiPriority w:val="99"/>
    <w:rPr>
      <w:rFonts w:ascii="Times New Roman" w:hAnsi="Times New Roman" w:eastAsia="宋体" w:cs="Times New Roman"/>
      <w:sz w:val="18"/>
      <w:szCs w:val="18"/>
    </w:rPr>
  </w:style>
  <w:style w:type="character" w:customStyle="1" w:styleId="46">
    <w:name w:val="页眉 Char"/>
    <w:basedOn w:val="23"/>
    <w:link w:val="16"/>
    <w:qFormat/>
    <w:uiPriority w:val="0"/>
    <w:rPr>
      <w:rFonts w:ascii="Times New Roman" w:hAnsi="Times New Roman" w:eastAsia="宋体" w:cs="Times New Roman"/>
      <w:sz w:val="18"/>
      <w:szCs w:val="20"/>
    </w:rPr>
  </w:style>
  <w:style w:type="paragraph" w:customStyle="1" w:styleId="47">
    <w:name w:val="列出段落1"/>
    <w:basedOn w:val="1"/>
    <w:qFormat/>
    <w:uiPriority w:val="34"/>
    <w:pPr>
      <w:ind w:firstLine="420" w:firstLineChars="200"/>
    </w:pPr>
  </w:style>
  <w:style w:type="paragraph" w:customStyle="1" w:styleId="48">
    <w:name w:val="纯文本1"/>
    <w:next w:val="18"/>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49">
    <w:name w:val="列出段落11"/>
    <w:basedOn w:val="1"/>
    <w:qFormat/>
    <w:uiPriority w:val="99"/>
    <w:pPr>
      <w:ind w:firstLine="420" w:firstLineChars="200"/>
    </w:pPr>
  </w:style>
  <w:style w:type="paragraph" w:customStyle="1" w:styleId="50">
    <w:name w:val="正文文本缩进1"/>
    <w:basedOn w:val="1"/>
    <w:qFormat/>
    <w:uiPriority w:val="0"/>
    <w:pPr>
      <w:spacing w:line="200" w:lineRule="exact"/>
      <w:ind w:firstLine="301"/>
    </w:pPr>
    <w:rPr>
      <w:rFonts w:ascii="宋体" w:hAnsi="Courier New"/>
      <w:spacing w:val="-4"/>
      <w:sz w:val="18"/>
    </w:rPr>
  </w:style>
  <w:style w:type="paragraph" w:customStyle="1" w:styleId="51">
    <w:name w:val="正文文本缩进2"/>
    <w:basedOn w:val="1"/>
    <w:qFormat/>
    <w:uiPriority w:val="0"/>
    <w:pPr>
      <w:spacing w:line="200" w:lineRule="exact"/>
      <w:ind w:firstLine="301"/>
    </w:pPr>
    <w:rPr>
      <w:rFonts w:ascii="宋体" w:hAnsi="Courier New"/>
      <w:spacing w:val="-4"/>
      <w:kern w:val="0"/>
      <w:sz w:val="18"/>
    </w:rPr>
  </w:style>
  <w:style w:type="character" w:customStyle="1" w:styleId="52">
    <w:name w:val="页码1"/>
    <w:basedOn w:val="23"/>
    <w:qFormat/>
    <w:uiPriority w:val="0"/>
  </w:style>
  <w:style w:type="paragraph" w:customStyle="1" w:styleId="53">
    <w:name w:val="正文文本缩进21"/>
    <w:basedOn w:val="1"/>
    <w:qFormat/>
    <w:uiPriority w:val="0"/>
    <w:pPr>
      <w:spacing w:line="200" w:lineRule="exact"/>
      <w:ind w:firstLine="301"/>
    </w:pPr>
    <w:rPr>
      <w:rFonts w:ascii="宋体" w:hAnsi="Courier New"/>
      <w:spacing w:val="-4"/>
      <w:kern w:val="0"/>
      <w:sz w:val="18"/>
    </w:rPr>
  </w:style>
  <w:style w:type="paragraph" w:customStyle="1" w:styleId="54">
    <w:name w:val="修订1"/>
    <w:hidden/>
    <w:semiHidden/>
    <w:qFormat/>
    <w:uiPriority w:val="99"/>
    <w:rPr>
      <w:rFonts w:ascii="Times New Roman" w:hAnsi="Times New Roman" w:eastAsia="宋体" w:cs="Times New Roman"/>
      <w:kern w:val="2"/>
      <w:sz w:val="21"/>
      <w:lang w:val="en-US" w:eastAsia="zh-CN" w:bidi="ar-SA"/>
    </w:rPr>
  </w:style>
  <w:style w:type="character" w:customStyle="1" w:styleId="55">
    <w:name w:val="正文缩进 Char"/>
    <w:link w:val="5"/>
    <w:qFormat/>
    <w:uiPriority w:val="99"/>
    <w:rPr>
      <w:rFonts w:ascii="宋体" w:hAnsi="Times New Roman" w:eastAsia="宋体" w:cs="Times New Roman"/>
      <w:kern w:val="2"/>
      <w:sz w:val="24"/>
    </w:rPr>
  </w:style>
  <w:style w:type="paragraph" w:customStyle="1" w:styleId="56">
    <w:name w:val="Í¼±íÕýÎÄ"/>
    <w:basedOn w:val="1"/>
    <w:next w:val="5"/>
    <w:qFormat/>
    <w:uiPriority w:val="0"/>
    <w:pPr>
      <w:ind w:firstLine="420" w:firstLineChars="200"/>
    </w:pPr>
    <w:rPr>
      <w:sz w:val="24"/>
    </w:rPr>
  </w:style>
  <w:style w:type="paragraph" w:styleId="57">
    <w:name w:val="List Paragraph"/>
    <w:basedOn w:val="1"/>
    <w:qFormat/>
    <w:uiPriority w:val="34"/>
    <w:pPr>
      <w:ind w:firstLine="420" w:firstLineChars="200"/>
    </w:pPr>
    <w:rPr>
      <w:rFonts w:ascii="Calibri" w:hAnsi="Calibri"/>
      <w:szCs w:val="22"/>
    </w:rPr>
  </w:style>
  <w:style w:type="character" w:customStyle="1" w:styleId="58">
    <w:name w:val="font01"/>
    <w:qFormat/>
    <w:uiPriority w:val="0"/>
    <w:rPr>
      <w:rFonts w:hint="eastAsia" w:ascii="宋体" w:hAnsi="宋体" w:eastAsia="宋体" w:cs="宋体"/>
      <w:color w:val="000000"/>
      <w:sz w:val="24"/>
      <w:szCs w:val="24"/>
      <w:u w:val="none"/>
    </w:rPr>
  </w:style>
  <w:style w:type="paragraph" w:customStyle="1" w:styleId="59">
    <w:name w:val="纯文本2"/>
    <w:next w:val="18"/>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paragraph" w:customStyle="1" w:styleId="60">
    <w:name w:val="TOC 标题1"/>
    <w:basedOn w:val="2"/>
    <w:next w:val="1"/>
    <w:semiHidden/>
    <w:unhideWhenUsed/>
    <w:qFormat/>
    <w:uiPriority w:val="39"/>
    <w:pPr>
      <w:keepLines/>
      <w:spacing w:before="480" w:line="276" w:lineRule="auto"/>
      <w:jc w:val="left"/>
      <w:outlineLvl w:val="9"/>
    </w:pPr>
    <w:rPr>
      <w:rFonts w:asciiTheme="majorHAnsi" w:hAnsiTheme="majorHAnsi" w:eastAsiaTheme="majorEastAsia" w:cstheme="majorBidi"/>
      <w:bCs/>
      <w:color w:val="376092" w:themeColor="accent1" w:themeShade="BF"/>
      <w:kern w:val="0"/>
      <w:sz w:val="28"/>
      <w:szCs w:val="28"/>
    </w:rPr>
  </w:style>
  <w:style w:type="paragraph" w:customStyle="1" w:styleId="61">
    <w:name w:val="修订2"/>
    <w:hidden/>
    <w:semiHidden/>
    <w:unhideWhenUsed/>
    <w:qFormat/>
    <w:uiPriority w:val="99"/>
    <w:rPr>
      <w:rFonts w:ascii="Times New Roman" w:hAnsi="Times New Roman" w:eastAsia="宋体" w:cs="Times New Roman"/>
      <w:kern w:val="2"/>
      <w:sz w:val="21"/>
      <w:lang w:val="en-US" w:eastAsia="zh-CN" w:bidi="ar-SA"/>
    </w:rPr>
  </w:style>
  <w:style w:type="paragraph" w:customStyle="1" w:styleId="62">
    <w:name w:val="成文日期"/>
    <w:basedOn w:val="1"/>
    <w:link w:val="63"/>
    <w:qFormat/>
    <w:uiPriority w:val="0"/>
    <w:pPr>
      <w:spacing w:line="570" w:lineRule="exact"/>
      <w:ind w:right="400" w:rightChars="400" w:firstLine="200" w:firstLineChars="200"/>
      <w:jc w:val="right"/>
    </w:pPr>
    <w:rPr>
      <w:rFonts w:ascii="仿宋_GB2312" w:eastAsia="仿宋_GB2312"/>
      <w:sz w:val="32"/>
      <w:lang w:val="zh-CN"/>
    </w:rPr>
  </w:style>
  <w:style w:type="character" w:customStyle="1" w:styleId="63">
    <w:name w:val="成文日期 Char"/>
    <w:link w:val="62"/>
    <w:qFormat/>
    <w:uiPriority w:val="0"/>
    <w:rPr>
      <w:rFonts w:ascii="仿宋_GB2312" w:hAnsi="Times New Roman" w:eastAsia="仿宋_GB2312" w:cs="Times New Roman"/>
      <w:kern w:val="2"/>
      <w:sz w:val="32"/>
      <w:lang w:val="zh-CN" w:eastAsia="zh-CN"/>
    </w:rPr>
  </w:style>
  <w:style w:type="paragraph" w:customStyle="1" w:styleId="64">
    <w:name w:val="材料标题"/>
    <w:basedOn w:val="1"/>
    <w:link w:val="65"/>
    <w:qFormat/>
    <w:uiPriority w:val="0"/>
    <w:pPr>
      <w:adjustRightInd w:val="0"/>
      <w:snapToGrid w:val="0"/>
      <w:spacing w:line="700" w:lineRule="exact"/>
      <w:jc w:val="center"/>
    </w:pPr>
    <w:rPr>
      <w:rFonts w:ascii="方正小标宋简体" w:eastAsia="方正小标宋简体"/>
      <w:color w:val="000000"/>
      <w:sz w:val="44"/>
      <w:szCs w:val="44"/>
    </w:rPr>
  </w:style>
  <w:style w:type="character" w:customStyle="1" w:styleId="65">
    <w:name w:val="材料标题 Char"/>
    <w:link w:val="64"/>
    <w:qFormat/>
    <w:uiPriority w:val="0"/>
    <w:rPr>
      <w:rFonts w:ascii="方正小标宋简体" w:hAnsi="Times New Roman" w:eastAsia="方正小标宋简体" w:cs="Times New Roman"/>
      <w:color w:val="000000"/>
      <w:kern w:val="2"/>
      <w:sz w:val="44"/>
      <w:szCs w:val="44"/>
    </w:rPr>
  </w:style>
  <w:style w:type="paragraph" w:customStyle="1" w:styleId="66">
    <w:name w:val="Table Paragraph"/>
    <w:basedOn w:val="1"/>
    <w:unhideWhenUsed/>
    <w:qFormat/>
    <w:uiPriority w:val="1"/>
    <w:rPr>
      <w:rFonts w:hint="eastAsia"/>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AC061-6634-480B-A398-DB8ED19201A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33</Pages>
  <Words>279</Words>
  <Characters>303</Characters>
  <Lines>148</Lines>
  <Paragraphs>41</Paragraphs>
  <TotalTime>127</TotalTime>
  <ScaleCrop>false</ScaleCrop>
  <LinksUpToDate>false</LinksUpToDate>
  <CharactersWithSpaces>348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2017-08-15T11:35:00Z</dcterms:created>
  <dc:creator>王波</dc:creator>
  <cp:lastModifiedBy>糖果</cp:lastModifiedBy>
  <cp:lastPrinted>2017-10-08T03:39:00Z</cp:lastPrinted>
  <dcterms:modified xsi:type="dcterms:W3CDTF">2025-08-01T05:38:18Z</dcterms:modified>
  <cp:revision>478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647F5FA52AFB4700B7C9A8EEF565FB43_13</vt:lpwstr>
  </property>
  <property fmtid="{D5CDD505-2E9C-101B-9397-08002B2CF9AE}" pid="4" name="KSOTemplateDocerSaveRecord">
    <vt:lpwstr>eyJoZGlkIjoiMWJlZmE2NGIwM2NkM2MxMzZkMjRkOTE1YzhiMGNkNTciLCJ1c2VySWQiOiI1MTYwNjAyNTIifQ==</vt:lpwstr>
  </property>
</Properties>
</file>